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90E54" w14:textId="77777777" w:rsidR="00B62406" w:rsidRPr="007106AF" w:rsidRDefault="00B62406" w:rsidP="00B62406">
      <w:r w:rsidRPr="007106AF">
        <w:rPr>
          <w:b/>
          <w:bCs/>
          <w:noProof/>
          <w:sz w:val="96"/>
          <w:szCs w:val="96"/>
          <w:lang w:eastAsia="cs-CZ"/>
        </w:rPr>
        <w:drawing>
          <wp:anchor distT="0" distB="0" distL="114300" distR="114300" simplePos="0" relativeHeight="251659264" behindDoc="1" locked="0" layoutInCell="1" allowOverlap="1" wp14:anchorId="3CBED2DC" wp14:editId="7FAC0581">
            <wp:simplePos x="0" y="0"/>
            <wp:positionH relativeFrom="column">
              <wp:posOffset>-386080</wp:posOffset>
            </wp:positionH>
            <wp:positionV relativeFrom="paragraph">
              <wp:posOffset>-534670</wp:posOffset>
            </wp:positionV>
            <wp:extent cx="2185035" cy="2185035"/>
            <wp:effectExtent l="0" t="0" r="0" b="0"/>
            <wp:wrapNone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218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1786E1" w14:textId="77777777" w:rsidR="00B62406" w:rsidRPr="007106AF" w:rsidRDefault="00B62406" w:rsidP="00B62406"/>
    <w:p w14:paraId="6B9E41D3" w14:textId="77777777" w:rsidR="00B62406" w:rsidRPr="007106AF" w:rsidRDefault="00B62406" w:rsidP="00B62406"/>
    <w:p w14:paraId="31501E8F" w14:textId="77777777" w:rsidR="00B62406" w:rsidRPr="007106AF" w:rsidRDefault="00B62406" w:rsidP="00B62406">
      <w:pPr>
        <w:pStyle w:val="Documentdate"/>
        <w:rPr>
          <w:rFonts w:asciiTheme="majorHAnsi" w:hAnsiTheme="majorHAnsi"/>
          <w:lang w:val="cs-CZ"/>
        </w:rPr>
      </w:pPr>
    </w:p>
    <w:p w14:paraId="69B124CB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4BDD7F93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0B73FF99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7C215836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26420256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4D605450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038F6E50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3087A018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5E1598ED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7D989EA0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630A5ADB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1F4C71C8" w14:textId="77777777" w:rsidR="00B62406" w:rsidRPr="007106AF" w:rsidRDefault="00B62406" w:rsidP="00B62406">
      <w:pPr>
        <w:spacing w:after="200"/>
        <w:rPr>
          <w:rFonts w:asciiTheme="majorHAnsi" w:hAnsiTheme="majorHAnsi"/>
          <w:sz w:val="6"/>
          <w:szCs w:val="6"/>
        </w:rPr>
      </w:pPr>
    </w:p>
    <w:p w14:paraId="21A8B239" w14:textId="1285CAC4" w:rsidR="00B62406" w:rsidRPr="007106AF" w:rsidRDefault="00B62406" w:rsidP="00B62406">
      <w:pPr>
        <w:pStyle w:val="Documenttitle"/>
        <w:rPr>
          <w:rFonts w:ascii="Calibri" w:hAnsi="Calibri" w:cs="Calibri"/>
          <w:sz w:val="72"/>
          <w:szCs w:val="72"/>
          <w:lang w:val="cs-CZ"/>
        </w:rPr>
      </w:pPr>
      <w:r>
        <w:rPr>
          <w:rFonts w:ascii="Calibri" w:hAnsi="Calibri" w:cs="Calibri"/>
          <w:sz w:val="72"/>
          <w:szCs w:val="72"/>
          <w:lang w:val="cs-CZ"/>
        </w:rPr>
        <w:t>Regionální inovační index pro regiony soudržnosti</w:t>
      </w:r>
    </w:p>
    <w:p w14:paraId="5FC9F5BE" w14:textId="77777777" w:rsidR="00B62406" w:rsidRPr="007106AF" w:rsidRDefault="00B62406" w:rsidP="00B62406">
      <w:pPr>
        <w:rPr>
          <w:rFonts w:ascii="Calibri" w:hAnsi="Calibri" w:cs="Calibri"/>
          <w:sz w:val="6"/>
          <w:szCs w:val="6"/>
        </w:rPr>
      </w:pPr>
    </w:p>
    <w:p w14:paraId="61E56D56" w14:textId="77777777" w:rsidR="00B62406" w:rsidRPr="007106AF" w:rsidRDefault="00B62406" w:rsidP="00B62406">
      <w:pPr>
        <w:rPr>
          <w:rFonts w:ascii="Calibri" w:hAnsi="Calibri" w:cs="Calibri"/>
          <w:sz w:val="6"/>
          <w:szCs w:val="6"/>
        </w:rPr>
      </w:pPr>
    </w:p>
    <w:p w14:paraId="39A06AFD" w14:textId="77777777" w:rsidR="00B62406" w:rsidRPr="007106AF" w:rsidRDefault="00B62406" w:rsidP="00B62406">
      <w:pPr>
        <w:rPr>
          <w:rFonts w:ascii="Calibri" w:hAnsi="Calibri" w:cs="Calibri"/>
          <w:sz w:val="6"/>
          <w:szCs w:val="6"/>
        </w:rPr>
      </w:pPr>
    </w:p>
    <w:p w14:paraId="5A353138" w14:textId="77777777" w:rsidR="00B62406" w:rsidRPr="007106AF" w:rsidRDefault="00B62406" w:rsidP="00B62406">
      <w:pPr>
        <w:rPr>
          <w:rFonts w:ascii="Calibri" w:hAnsi="Calibri" w:cs="Calibri"/>
          <w:sz w:val="6"/>
          <w:szCs w:val="6"/>
        </w:rPr>
      </w:pPr>
    </w:p>
    <w:p w14:paraId="45AE0BDB" w14:textId="77777777" w:rsidR="00B62406" w:rsidRPr="007106AF" w:rsidRDefault="00B62406" w:rsidP="00B62406">
      <w:pPr>
        <w:rPr>
          <w:rFonts w:ascii="Calibri" w:hAnsi="Calibri" w:cs="Calibri"/>
          <w:sz w:val="6"/>
          <w:szCs w:val="6"/>
        </w:rPr>
      </w:pPr>
    </w:p>
    <w:p w14:paraId="4109BA95" w14:textId="3EA6C266" w:rsidR="00B62406" w:rsidRPr="007106AF" w:rsidRDefault="00B62406" w:rsidP="00B62406">
      <w:pPr>
        <w:spacing w:after="0"/>
        <w:rPr>
          <w:rFonts w:asciiTheme="majorHAnsi" w:hAnsiTheme="majorHAnsi" w:cstheme="majorHAnsi"/>
        </w:rPr>
      </w:pPr>
      <w:r w:rsidRPr="007106AF">
        <w:rPr>
          <w:rFonts w:ascii="Calibri" w:hAnsi="Calibri" w:cs="Calibri"/>
          <w:b/>
          <w:bCs/>
        </w:rPr>
        <w:t>Datum zpracování</w:t>
      </w:r>
      <w:r w:rsidRPr="007106AF">
        <w:rPr>
          <w:rFonts w:ascii="Calibri" w:hAnsi="Calibri" w:cs="Calibri"/>
          <w:b/>
        </w:rPr>
        <w:t>:</w:t>
      </w:r>
      <w:r w:rsidRPr="007106AF">
        <w:rPr>
          <w:rFonts w:ascii="Calibri" w:hAnsi="Calibri" w:cs="Calibri"/>
        </w:rPr>
        <w:tab/>
      </w:r>
      <w:r>
        <w:rPr>
          <w:rFonts w:cs="Calibri Light"/>
        </w:rPr>
        <w:t>16</w:t>
      </w:r>
      <w:r w:rsidRPr="007106AF">
        <w:rPr>
          <w:rFonts w:cs="Calibri Light"/>
        </w:rPr>
        <w:t>. 4. 2021</w:t>
      </w:r>
    </w:p>
    <w:p w14:paraId="2D47C0CB" w14:textId="30A5EFFC" w:rsidR="00B62406" w:rsidRPr="007106AF" w:rsidRDefault="00B62406" w:rsidP="00B62406">
      <w:pPr>
        <w:spacing w:after="0"/>
        <w:rPr>
          <w:rFonts w:ascii="Calibri" w:hAnsi="Calibri" w:cs="Calibri"/>
        </w:rPr>
      </w:pPr>
      <w:r w:rsidRPr="007106AF">
        <w:rPr>
          <w:rFonts w:ascii="Calibri" w:hAnsi="Calibri" w:cs="Calibri"/>
          <w:b/>
          <w:bCs/>
        </w:rPr>
        <w:t>Verze:</w:t>
      </w:r>
      <w:r w:rsidRPr="007106AF">
        <w:rPr>
          <w:rFonts w:ascii="Calibri" w:hAnsi="Calibri" w:cs="Calibri"/>
          <w:b/>
          <w:bCs/>
        </w:rPr>
        <w:tab/>
      </w:r>
      <w:r w:rsidRPr="007106AF">
        <w:rPr>
          <w:rFonts w:ascii="Calibri" w:hAnsi="Calibri" w:cs="Calibri"/>
        </w:rPr>
        <w:tab/>
      </w:r>
      <w:r w:rsidRPr="007106AF">
        <w:rPr>
          <w:rFonts w:ascii="Calibri" w:hAnsi="Calibri" w:cs="Calibri"/>
        </w:rPr>
        <w:tab/>
      </w:r>
      <w:r>
        <w:rPr>
          <w:rFonts w:cs="Calibri Light"/>
        </w:rPr>
        <w:t>1.0</w:t>
      </w:r>
    </w:p>
    <w:p w14:paraId="34BBFD58" w14:textId="26780A6A" w:rsidR="00B62406" w:rsidRPr="007106AF" w:rsidRDefault="00B62406" w:rsidP="00B62406">
      <w:pPr>
        <w:spacing w:after="0"/>
        <w:rPr>
          <w:rFonts w:asciiTheme="majorHAnsi" w:hAnsiTheme="majorHAnsi" w:cstheme="majorHAnsi"/>
        </w:rPr>
      </w:pPr>
      <w:r w:rsidRPr="007106AF">
        <w:rPr>
          <w:rFonts w:cstheme="minorHAnsi"/>
          <w:b/>
          <w:bCs/>
        </w:rPr>
        <w:t>Odborný garant</w:t>
      </w:r>
      <w:r w:rsidRPr="007106AF">
        <w:rPr>
          <w:rFonts w:cstheme="minorHAnsi"/>
          <w:b/>
        </w:rPr>
        <w:t>:</w:t>
      </w:r>
      <w:r w:rsidRPr="007106AF">
        <w:tab/>
      </w:r>
      <w:r>
        <w:rPr>
          <w:rFonts w:cs="Calibri Light"/>
        </w:rPr>
        <w:t>Petr Horák</w:t>
      </w:r>
      <w:r w:rsidRPr="007106AF">
        <w:rPr>
          <w:rFonts w:asciiTheme="majorHAnsi" w:hAnsiTheme="majorHAnsi" w:cstheme="majorHAnsi"/>
        </w:rPr>
        <w:t xml:space="preserve"> </w:t>
      </w:r>
    </w:p>
    <w:p w14:paraId="443D2DAD" w14:textId="77777777" w:rsidR="00B62406" w:rsidRPr="007106AF" w:rsidRDefault="00B62406" w:rsidP="00B62406">
      <w:pPr>
        <w:rPr>
          <w:rFonts w:asciiTheme="majorHAnsi" w:hAnsiTheme="majorHAnsi" w:cstheme="majorHAnsi"/>
        </w:rPr>
      </w:pPr>
      <w:r w:rsidRPr="007106AF">
        <w:rPr>
          <w:rFonts w:asciiTheme="majorHAnsi" w:hAnsiTheme="majorHAnsi" w:cstheme="majorHAnsi"/>
        </w:rPr>
        <w:tab/>
      </w:r>
      <w:r w:rsidRPr="007106AF">
        <w:rPr>
          <w:rFonts w:asciiTheme="majorHAnsi" w:hAnsiTheme="majorHAnsi" w:cstheme="majorHAnsi"/>
        </w:rPr>
        <w:tab/>
      </w:r>
      <w:r w:rsidRPr="007106AF">
        <w:rPr>
          <w:rFonts w:asciiTheme="majorHAnsi" w:hAnsiTheme="majorHAnsi" w:cstheme="majorHAnsi"/>
        </w:rPr>
        <w:tab/>
      </w:r>
    </w:p>
    <w:p w14:paraId="7A0E1139" w14:textId="77777777" w:rsidR="00B62406" w:rsidRPr="007106AF" w:rsidRDefault="00B62406" w:rsidP="00B62406">
      <w:pPr>
        <w:rPr>
          <w:rFonts w:asciiTheme="majorHAnsi" w:hAnsiTheme="majorHAnsi" w:cstheme="majorHAnsi"/>
        </w:rPr>
      </w:pPr>
    </w:p>
    <w:p w14:paraId="08B7AD93" w14:textId="77777777" w:rsidR="00B62406" w:rsidRPr="007106AF" w:rsidRDefault="00B62406" w:rsidP="00B62406">
      <w:pPr>
        <w:spacing w:after="200"/>
        <w:rPr>
          <w:rFonts w:ascii="Calibri" w:hAnsi="Calibri" w:cs="Calibri"/>
          <w:sz w:val="6"/>
          <w:szCs w:val="6"/>
        </w:rPr>
      </w:pPr>
    </w:p>
    <w:p w14:paraId="098A893E" w14:textId="77777777" w:rsidR="00B62406" w:rsidRPr="007106AF" w:rsidRDefault="00B62406" w:rsidP="00B62406">
      <w:pPr>
        <w:spacing w:after="200"/>
        <w:rPr>
          <w:rFonts w:ascii="Calibri" w:hAnsi="Calibri" w:cs="Calibri"/>
          <w:szCs w:val="20"/>
        </w:rPr>
      </w:pPr>
    </w:p>
    <w:p w14:paraId="22BFC2C7" w14:textId="77777777" w:rsidR="00B62406" w:rsidRPr="007106AF" w:rsidRDefault="00B62406" w:rsidP="00B62406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C1FED" wp14:editId="3A417687">
                <wp:simplePos x="0" y="0"/>
                <wp:positionH relativeFrom="page">
                  <wp:posOffset>2449830</wp:posOffset>
                </wp:positionH>
                <wp:positionV relativeFrom="page">
                  <wp:posOffset>9240520</wp:posOffset>
                </wp:positionV>
                <wp:extent cx="1767205" cy="723265"/>
                <wp:effectExtent l="0" t="0" r="0" b="0"/>
                <wp:wrapTight wrapText="bothSides">
                  <wp:wrapPolygon edited="0">
                    <wp:start x="0" y="0"/>
                    <wp:lineTo x="0" y="21240"/>
                    <wp:lineTo x="21577" y="21240"/>
                    <wp:lineTo x="21577" y="0"/>
                    <wp:lineTo x="0" y="0"/>
                  </wp:wrapPolygon>
                </wp:wrapTight>
                <wp:docPr id="290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6720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C1FED" id="_x0000_t202" coordsize="21600,21600" o:spt="202" path="m,l,21600r21600,l21600,xe">
                <v:stroke joinstyle="miter"/>
                <v:path gradientshapeok="t" o:connecttype="rect"/>
              </v:shapetype>
              <v:shape id="Text Box 308" o:spid="_x0000_s1026" type="#_x0000_t202" style="position:absolute;margin-left:192.9pt;margin-top:727.6pt;width:139.1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" filled="f" stroked="f">
                <v:path arrowok="t"/>
                <v:textbox inset="0,0,0,0">
                  <w:txbxContent/>
                </v:textbox>
                <w10:wrap type="tight"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7C6CF20E" wp14:editId="7A8EFB31">
                <wp:simplePos x="0" y="0"/>
                <wp:positionH relativeFrom="page">
                  <wp:posOffset>2204084</wp:posOffset>
                </wp:positionH>
                <wp:positionV relativeFrom="page">
                  <wp:posOffset>9267190</wp:posOffset>
                </wp:positionV>
                <wp:extent cx="0" cy="701040"/>
                <wp:effectExtent l="0" t="0" r="0" b="0"/>
                <wp:wrapTight wrapText="bothSides">
                  <wp:wrapPolygon edited="0">
                    <wp:start x="-1" y="0"/>
                    <wp:lineTo x="-1" y="21522"/>
                    <wp:lineTo x="-1" y="21522"/>
                    <wp:lineTo x="-1" y="0"/>
                    <wp:lineTo x="-1" y="0"/>
                  </wp:wrapPolygon>
                </wp:wrapTight>
                <wp:docPr id="287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7010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82669" id="Line 309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73.55pt,729.7pt" to="173.55pt,78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" strokecolor="#404040 [2429]" strokeweight=".5pt">
                <v:shadow opacity="22938f" offset="0"/>
                <o:lock v:ext="edit" shapetype="f"/>
                <w10:wrap type="tight" anchorx="page" anchory="page"/>
              </v:line>
            </w:pict>
          </mc:Fallback>
        </mc:AlternateContent>
      </w:r>
      <w:r>
        <w:rPr>
          <w:rFonts w:ascii="Calibri" w:hAnsi="Calibri" w:cs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478D98" wp14:editId="060FF7BC">
                <wp:simplePos x="0" y="0"/>
                <wp:positionH relativeFrom="page">
                  <wp:posOffset>885825</wp:posOffset>
                </wp:positionH>
                <wp:positionV relativeFrom="page">
                  <wp:posOffset>9249410</wp:posOffset>
                </wp:positionV>
                <wp:extent cx="1313180" cy="817245"/>
                <wp:effectExtent l="0" t="0" r="0" b="0"/>
                <wp:wrapTight wrapText="bothSides">
                  <wp:wrapPolygon edited="0">
                    <wp:start x="0" y="0"/>
                    <wp:lineTo x="0" y="21483"/>
                    <wp:lineTo x="21516" y="21483"/>
                    <wp:lineTo x="21516" y="0"/>
                    <wp:lineTo x="0" y="0"/>
                  </wp:wrapPolygon>
                </wp:wrapTight>
                <wp:docPr id="295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13180" cy="817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p w14:paraId="3C8C315F" w14:textId="77777777" w:rsidR="00B62406" w:rsidRPr="0020039B" w:rsidRDefault="00B62406" w:rsidP="00B62406">
                            <w:pPr>
                              <w:pStyle w:val="Textkomente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20039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</w:rPr>
                              <w:t>AQE advisors, a.s.</w:t>
                            </w:r>
                          </w:p>
                          <w:p w14:paraId="694EDDF4" w14:textId="77777777" w:rsidR="00B62406" w:rsidRPr="0020039B" w:rsidRDefault="00B62406" w:rsidP="00B62406">
                            <w:pPr>
                              <w:pStyle w:val="Textkomente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20039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Třída Kpt. Jaroše 31 </w:t>
                            </w:r>
                          </w:p>
                          <w:p w14:paraId="11A5CEAF" w14:textId="77777777" w:rsidR="00B62406" w:rsidRPr="0020039B" w:rsidRDefault="00B62406" w:rsidP="00B62406">
                            <w:pPr>
                              <w:pStyle w:val="Textkomente"/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</w:pPr>
                            <w:r w:rsidRPr="0020039B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602 00 Brno</w:t>
                            </w:r>
                          </w:p>
                          <w:p w14:paraId="20F6B86A" w14:textId="77777777" w:rsidR="00B62406" w:rsidRPr="008E39BB" w:rsidRDefault="00B62406" w:rsidP="00B62406">
                            <w:pPr>
                              <w:pStyle w:val="Textkomente"/>
                              <w:tabs>
                                <w:tab w:val="left" w:pos="280"/>
                              </w:tabs>
                              <w:spacing w:afterLines="60" w:after="144"/>
                              <w:rPr>
                                <w:rFonts w:cs="Calibri Light"/>
                                <w:color w:val="000000" w:themeColor="text1"/>
                              </w:rPr>
                            </w:pPr>
                            <w:r w:rsidRPr="008E39BB">
                              <w:rPr>
                                <w:rFonts w:cs="Calibri Light"/>
                                <w:color w:val="000000" w:themeColor="text1"/>
                              </w:rPr>
                              <w:t>e:  info@AQE.cz</w:t>
                            </w:r>
                          </w:p>
                          <w:p w14:paraId="340D6DC3" w14:textId="77777777" w:rsidR="00B62406" w:rsidRPr="008E39BB" w:rsidRDefault="00B62406" w:rsidP="00B62406">
                            <w:pPr>
                              <w:pStyle w:val="Textkomente"/>
                              <w:tabs>
                                <w:tab w:val="left" w:pos="280"/>
                              </w:tabs>
                              <w:spacing w:afterLines="60" w:after="144"/>
                              <w:rPr>
                                <w:rFonts w:cs="Calibri Light"/>
                                <w:color w:val="000000" w:themeColor="text1"/>
                              </w:rPr>
                            </w:pPr>
                            <w:r w:rsidRPr="008E39BB">
                              <w:rPr>
                                <w:rFonts w:cs="Calibri Light"/>
                                <w:color w:val="000000" w:themeColor="text1"/>
                              </w:rPr>
                              <w:t>m: 603 770 870</w:t>
                            </w:r>
                          </w:p>
                          <w:p w14:paraId="02388E9C" w14:textId="77777777" w:rsidR="00B62406" w:rsidRPr="008E39BB" w:rsidRDefault="00B62406" w:rsidP="00B62406">
                            <w:pPr>
                              <w:pStyle w:val="Textkomente"/>
                              <w:spacing w:afterLines="60" w:after="144"/>
                              <w:rPr>
                                <w:rFonts w:cs="Calibri Light"/>
                                <w:color w:val="000000" w:themeColor="text1"/>
                              </w:rPr>
                            </w:pPr>
                            <w:hyperlink r:id="rId5" w:history="1">
                              <w:r w:rsidRPr="008E39BB">
                                <w:rPr>
                                  <w:rStyle w:val="Hypertextovodkaz"/>
                                  <w:rFonts w:cs="Calibri Light"/>
                                  <w:color w:val="000000" w:themeColor="text1"/>
                                </w:rPr>
                                <w:t>www.AQE.cz</w:t>
                              </w:r>
                            </w:hyperlink>
                          </w:p>
                          <w:p w14:paraId="4EC3B610" w14:textId="77777777" w:rsidR="00B62406" w:rsidRPr="007E68DB" w:rsidRDefault="00B62406" w:rsidP="00B62406">
                            <w:pPr>
                              <w:pStyle w:val="Textkomente"/>
                              <w:spacing w:after="113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78D98" id="Text Box 307" o:spid="_x0000_s1027" type="#_x0000_t202" style="position:absolute;margin-left:69.75pt;margin-top:728.3pt;width:103.4pt;height:64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" filled="f" stroked="f">
                <v:path arrowok="t"/>
                <v:textbox style="mso-next-textbox:#Text Box 308" inset="0,0,0,0">
                  <w:txbxContent>
                    <w:p w14:paraId="3C8C315F" w14:textId="77777777" w:rsidR="00B62406" w:rsidRPr="0020039B" w:rsidRDefault="00B62406" w:rsidP="00B62406">
                      <w:pPr>
                        <w:pStyle w:val="Textkomente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</w:rPr>
                      </w:pPr>
                      <w:r w:rsidRPr="0020039B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</w:rPr>
                        <w:t>AQE advisors, a.s.</w:t>
                      </w:r>
                    </w:p>
                    <w:p w14:paraId="694EDDF4" w14:textId="77777777" w:rsidR="00B62406" w:rsidRPr="0020039B" w:rsidRDefault="00B62406" w:rsidP="00B62406">
                      <w:pPr>
                        <w:pStyle w:val="Textkomente"/>
                        <w:rPr>
                          <w:rFonts w:asciiTheme="minorHAnsi" w:hAnsiTheme="minorHAnsi" w:cstheme="minorHAnsi"/>
                          <w:color w:val="000000" w:themeColor="text1"/>
                        </w:rPr>
                      </w:pPr>
                      <w:r w:rsidRPr="0020039B">
                        <w:rPr>
                          <w:rFonts w:asciiTheme="minorHAnsi" w:hAnsiTheme="minorHAnsi" w:cstheme="minorHAnsi"/>
                          <w:color w:val="000000" w:themeColor="text1"/>
                        </w:rPr>
                        <w:t xml:space="preserve">Třída Kpt. Jaroše 31 </w:t>
                      </w:r>
                    </w:p>
                    <w:p w14:paraId="11A5CEAF" w14:textId="77777777" w:rsidR="00B62406" w:rsidRPr="0020039B" w:rsidRDefault="00B62406" w:rsidP="00B62406">
                      <w:pPr>
                        <w:pStyle w:val="Textkomente"/>
                        <w:rPr>
                          <w:rFonts w:asciiTheme="minorHAnsi" w:hAnsiTheme="minorHAnsi" w:cstheme="minorHAnsi"/>
                          <w:color w:val="000000" w:themeColor="text1"/>
                        </w:rPr>
                      </w:pPr>
                      <w:r w:rsidRPr="0020039B">
                        <w:rPr>
                          <w:rFonts w:asciiTheme="minorHAnsi" w:hAnsiTheme="minorHAnsi" w:cstheme="minorHAnsi"/>
                          <w:color w:val="000000" w:themeColor="text1"/>
                        </w:rPr>
                        <w:t>602 00 Brno</w:t>
                      </w:r>
                    </w:p>
                    <w:p w14:paraId="20F6B86A" w14:textId="77777777" w:rsidR="00B62406" w:rsidRPr="008E39BB" w:rsidRDefault="00B62406" w:rsidP="00B62406">
                      <w:pPr>
                        <w:pStyle w:val="Textkomente"/>
                        <w:tabs>
                          <w:tab w:val="left" w:pos="280"/>
                        </w:tabs>
                        <w:spacing w:afterLines="60" w:after="144"/>
                        <w:rPr>
                          <w:rFonts w:cs="Calibri Light"/>
                          <w:color w:val="000000" w:themeColor="text1"/>
                        </w:rPr>
                      </w:pPr>
                      <w:r w:rsidRPr="008E39BB">
                        <w:rPr>
                          <w:rFonts w:cs="Calibri Light"/>
                          <w:color w:val="000000" w:themeColor="text1"/>
                        </w:rPr>
                        <w:t>e:  info@AQE.cz</w:t>
                      </w:r>
                    </w:p>
                    <w:p w14:paraId="340D6DC3" w14:textId="77777777" w:rsidR="00B62406" w:rsidRPr="008E39BB" w:rsidRDefault="00B62406" w:rsidP="00B62406">
                      <w:pPr>
                        <w:pStyle w:val="Textkomente"/>
                        <w:tabs>
                          <w:tab w:val="left" w:pos="280"/>
                        </w:tabs>
                        <w:spacing w:afterLines="60" w:after="144"/>
                        <w:rPr>
                          <w:rFonts w:cs="Calibri Light"/>
                          <w:color w:val="000000" w:themeColor="text1"/>
                        </w:rPr>
                      </w:pPr>
                      <w:r w:rsidRPr="008E39BB">
                        <w:rPr>
                          <w:rFonts w:cs="Calibri Light"/>
                          <w:color w:val="000000" w:themeColor="text1"/>
                        </w:rPr>
                        <w:t>m: 603 770 870</w:t>
                      </w:r>
                    </w:p>
                    <w:p w14:paraId="02388E9C" w14:textId="77777777" w:rsidR="00B62406" w:rsidRPr="008E39BB" w:rsidRDefault="00B62406" w:rsidP="00B62406">
                      <w:pPr>
                        <w:pStyle w:val="Textkomente"/>
                        <w:spacing w:afterLines="60" w:after="144"/>
                        <w:rPr>
                          <w:rFonts w:cs="Calibri Light"/>
                          <w:color w:val="000000" w:themeColor="text1"/>
                        </w:rPr>
                      </w:pPr>
                      <w:hyperlink r:id="rId6" w:history="1">
                        <w:r w:rsidRPr="008E39BB">
                          <w:rPr>
                            <w:rStyle w:val="Hypertextovodkaz"/>
                            <w:rFonts w:cs="Calibri Light"/>
                            <w:color w:val="000000" w:themeColor="text1"/>
                          </w:rPr>
                          <w:t>www.AQE.cz</w:t>
                        </w:r>
                      </w:hyperlink>
                    </w:p>
                    <w:p w14:paraId="4EC3B610" w14:textId="77777777" w:rsidR="00B62406" w:rsidRPr="007E68DB" w:rsidRDefault="00B62406" w:rsidP="00B62406">
                      <w:pPr>
                        <w:pStyle w:val="Textkomente"/>
                        <w:spacing w:after="113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p w14:paraId="31A00910" w14:textId="77777777" w:rsidR="00B62406" w:rsidRPr="007106AF" w:rsidRDefault="00B62406" w:rsidP="00B62406">
      <w:pPr>
        <w:spacing w:after="200"/>
        <w:rPr>
          <w:rFonts w:asciiTheme="majorHAnsi" w:hAnsiTheme="majorHAnsi"/>
          <w:szCs w:val="20"/>
        </w:rPr>
      </w:pPr>
    </w:p>
    <w:p w14:paraId="63886A33" w14:textId="77777777" w:rsidR="00B62406" w:rsidRPr="007106AF" w:rsidRDefault="00B62406" w:rsidP="00B62406">
      <w:pPr>
        <w:spacing w:after="200"/>
        <w:rPr>
          <w:rFonts w:asciiTheme="majorHAnsi" w:hAnsiTheme="majorHAnsi"/>
          <w:szCs w:val="20"/>
        </w:rPr>
      </w:pPr>
    </w:p>
    <w:p w14:paraId="035F19FF" w14:textId="77777777" w:rsidR="00B62406" w:rsidRPr="007106AF" w:rsidRDefault="00B62406" w:rsidP="00B62406">
      <w:pPr>
        <w:spacing w:after="200"/>
        <w:rPr>
          <w:rFonts w:asciiTheme="majorHAnsi" w:hAnsiTheme="majorHAnsi"/>
          <w:szCs w:val="20"/>
        </w:rPr>
      </w:pPr>
    </w:p>
    <w:p w14:paraId="7274FB97" w14:textId="77777777" w:rsidR="00B62406" w:rsidRPr="007106AF" w:rsidRDefault="00B62406" w:rsidP="00B62406">
      <w:pPr>
        <w:spacing w:after="200"/>
        <w:rPr>
          <w:rFonts w:asciiTheme="majorHAnsi" w:hAnsiTheme="majorHAnsi"/>
          <w:szCs w:val="20"/>
        </w:rPr>
      </w:pPr>
    </w:p>
    <w:p w14:paraId="0CE4B34A" w14:textId="77777777" w:rsidR="00B62406" w:rsidRPr="007106AF" w:rsidRDefault="00B62406" w:rsidP="00B62406">
      <w:pPr>
        <w:spacing w:after="200"/>
        <w:rPr>
          <w:rFonts w:asciiTheme="majorHAnsi" w:hAnsiTheme="majorHAnsi"/>
          <w:szCs w:val="20"/>
        </w:rPr>
      </w:pPr>
    </w:p>
    <w:p w14:paraId="0EFD3B8E" w14:textId="77777777" w:rsidR="00B62406" w:rsidRDefault="00B62406" w:rsidP="00452603">
      <w:pPr>
        <w:jc w:val="both"/>
        <w:rPr>
          <w:b/>
        </w:rPr>
      </w:pPr>
    </w:p>
    <w:p w14:paraId="3EA469A7" w14:textId="77777777" w:rsidR="00B62406" w:rsidRDefault="00B62406" w:rsidP="00452603">
      <w:pPr>
        <w:jc w:val="both"/>
        <w:rPr>
          <w:b/>
        </w:rPr>
      </w:pPr>
    </w:p>
    <w:p w14:paraId="42143FA5" w14:textId="1E43AF8A" w:rsidR="00352A2A" w:rsidRPr="00352A2A" w:rsidRDefault="00352A2A" w:rsidP="00452603">
      <w:pPr>
        <w:jc w:val="both"/>
        <w:rPr>
          <w:b/>
        </w:rPr>
      </w:pPr>
      <w:r w:rsidRPr="00352A2A">
        <w:rPr>
          <w:b/>
        </w:rPr>
        <w:t>Texty a tabulky:</w:t>
      </w:r>
    </w:p>
    <w:p w14:paraId="0F8E9A1D" w14:textId="64DBFE80" w:rsidR="00376EAC" w:rsidRDefault="00452603" w:rsidP="00452603">
      <w:pPr>
        <w:jc w:val="both"/>
      </w:pPr>
      <w:r>
        <w:t xml:space="preserve">Region soudržnosti </w:t>
      </w:r>
      <w:r w:rsidR="00376EAC">
        <w:t>Severozápad (CZ04) patří mezi mírné inovátory</w:t>
      </w:r>
      <w:r w:rsidR="00A840D8">
        <w:t xml:space="preserve"> s mínusem</w:t>
      </w:r>
      <w:r>
        <w:t>.</w:t>
      </w:r>
      <w:r w:rsidR="00376EAC">
        <w:t xml:space="preserve"> </w:t>
      </w:r>
      <w:r>
        <w:t>Jeho i</w:t>
      </w:r>
      <w:r w:rsidR="00376EAC">
        <w:t>novační výkonnost</w:t>
      </w:r>
      <w:r>
        <w:t xml:space="preserve"> se v od počátečního měření snižuje (porovnání </w:t>
      </w:r>
      <w:r w:rsidR="00A840D8">
        <w:t>mezi roky</w:t>
      </w:r>
      <w:r>
        <w:t xml:space="preserve"> 2011 a 2019 vykazuje snížení </w:t>
      </w:r>
      <w:r w:rsidR="00376EAC">
        <w:t>o 1</w:t>
      </w:r>
      <w:r w:rsidR="00F107BD">
        <w:t xml:space="preserve"> </w:t>
      </w:r>
      <w:r w:rsidR="00376EAC">
        <w:t>%</w:t>
      </w:r>
      <w:r>
        <w:t>)</w:t>
      </w:r>
      <w:r w:rsidR="00376EAC">
        <w:t xml:space="preserve">. </w:t>
      </w:r>
      <w:r w:rsidR="00F107BD">
        <w:t xml:space="preserve">V následující tabulce </w:t>
      </w:r>
      <w:r w:rsidR="00383DE2">
        <w:t>jsou</w:t>
      </w:r>
      <w:r w:rsidR="00F107BD">
        <w:t xml:space="preserve"> vypsán</w:t>
      </w:r>
      <w:r w:rsidR="00383DE2">
        <w:t>y</w:t>
      </w:r>
      <w:r w:rsidR="00AA0F81">
        <w:t>:</w:t>
      </w:r>
      <w:r w:rsidR="00383DE2">
        <w:t xml:space="preserve"> naměřená hodnota, </w:t>
      </w:r>
      <w:r w:rsidR="00F107BD">
        <w:t>normalizované skóre</w:t>
      </w:r>
      <w:r>
        <w:t xml:space="preserve"> a</w:t>
      </w:r>
      <w:r w:rsidR="00F107BD">
        <w:t xml:space="preserve"> </w:t>
      </w:r>
      <w:r w:rsidR="00A840D8">
        <w:t>relativní hodnota</w:t>
      </w:r>
      <w:r w:rsidR="00F107BD">
        <w:t xml:space="preserve"> </w:t>
      </w:r>
      <w:r w:rsidR="00383DE2">
        <w:t xml:space="preserve">vůči </w:t>
      </w:r>
      <w:r w:rsidR="00A840D8">
        <w:t xml:space="preserve">průměru </w:t>
      </w:r>
      <w:r w:rsidR="00383DE2">
        <w:t>Česk</w:t>
      </w:r>
      <w:r w:rsidR="00A840D8">
        <w:t>a</w:t>
      </w:r>
      <w:r w:rsidR="00383DE2">
        <w:t xml:space="preserve"> a EU</w:t>
      </w:r>
      <w:r w:rsidR="00F107BD">
        <w:t>.</w:t>
      </w:r>
      <w:r w:rsidR="00383DE2">
        <w:t xml:space="preserve"> </w:t>
      </w:r>
      <w:r w:rsidR="004543ED">
        <w:t>Naměřená hodnota je absolutním vyjádřením hodnoty indikátoru, normalizované skóre</w:t>
      </w:r>
      <w:r w:rsidR="00A840D8">
        <w:t xml:space="preserve"> je relativní umístění CZ04 v daném indikátoru oproti ostatním v rozmezí 0-1. Vůči CZ/EU je index oproti průměru hodnot z uvedené oblasti (100 = průměr). Relativní hodnota 21 oproti EU v indikátoru vysokoškolsky vzdělaných tedy znamená, že CZ04 dosahuje v hodnotě vysokoškolsky vzdělaných 21 % průměru EU.</w:t>
      </w:r>
      <w:r w:rsidR="004543ED">
        <w:t xml:space="preserve"> </w:t>
      </w:r>
      <w:r w:rsidR="00F107BD">
        <w:t>Tabulka také obsahuje</w:t>
      </w:r>
      <w:r w:rsidR="00383DE2">
        <w:t xml:space="preserve"> celkovou hodnotu</w:t>
      </w:r>
      <w:r w:rsidR="00F107BD">
        <w:t xml:space="preserve"> RII za rok 2011 a </w:t>
      </w:r>
      <w:r w:rsidR="00383DE2">
        <w:t>p</w:t>
      </w:r>
      <w:r w:rsidR="00F107BD">
        <w:t>orovnání</w:t>
      </w:r>
      <w:r w:rsidR="00383DE2">
        <w:t xml:space="preserve"> RII 2019 oblasti</w:t>
      </w:r>
      <w:r w:rsidR="00F107BD">
        <w:t xml:space="preserve"> vůči </w:t>
      </w:r>
      <w:r w:rsidR="00383DE2">
        <w:t xml:space="preserve">průměru </w:t>
      </w:r>
      <w:r w:rsidR="00F107BD">
        <w:t xml:space="preserve">EU v roce 2011. </w:t>
      </w:r>
    </w:p>
    <w:p w14:paraId="0B4A50F9" w14:textId="4F2F3B1B" w:rsidR="00376EAC" w:rsidRDefault="00376EAC" w:rsidP="00452603">
      <w:pPr>
        <w:spacing w:after="0"/>
      </w:pPr>
      <w:r>
        <w:t>Tabulka</w:t>
      </w:r>
      <w:r w:rsidR="00452603">
        <w:t xml:space="preserve"> X – Indikátory Regionálního inovačního indexu</w:t>
      </w:r>
      <w:r w:rsidR="004543ED">
        <w:t xml:space="preserve"> pro region soudržnosti Severozápad (CZ04)</w:t>
      </w:r>
    </w:p>
    <w:tbl>
      <w:tblPr>
        <w:tblStyle w:val="Mkatabulky"/>
        <w:tblW w:w="9071" w:type="dxa"/>
        <w:tblLook w:val="04A0" w:firstRow="1" w:lastRow="0" w:firstColumn="1" w:lastColumn="0" w:noHBand="0" w:noVBand="1"/>
      </w:tblPr>
      <w:tblGrid>
        <w:gridCol w:w="3225"/>
        <w:gridCol w:w="1156"/>
        <w:gridCol w:w="1566"/>
        <w:gridCol w:w="1562"/>
        <w:gridCol w:w="1562"/>
      </w:tblGrid>
      <w:tr w:rsidR="004543ED" w14:paraId="4A969EFB" w14:textId="77777777" w:rsidTr="00F107BD">
        <w:tc>
          <w:tcPr>
            <w:tcW w:w="3307" w:type="dxa"/>
          </w:tcPr>
          <w:p w14:paraId="33390EA9" w14:textId="69D0CD5B" w:rsidR="00376EAC" w:rsidRDefault="00D65EEC">
            <w:r>
              <w:t>Hodnoty regionálního inovačního indexu</w:t>
            </w:r>
          </w:p>
        </w:tc>
        <w:tc>
          <w:tcPr>
            <w:tcW w:w="836" w:type="dxa"/>
          </w:tcPr>
          <w:p w14:paraId="2EF4330D" w14:textId="5BEDA54A" w:rsidR="00376EAC" w:rsidRDefault="004543ED">
            <w:r>
              <w:t>Naměřená hodnota</w:t>
            </w:r>
          </w:p>
        </w:tc>
        <w:tc>
          <w:tcPr>
            <w:tcW w:w="1566" w:type="dxa"/>
          </w:tcPr>
          <w:p w14:paraId="69574267" w14:textId="1EB347C7" w:rsidR="00376EAC" w:rsidRDefault="00376EAC">
            <w:r>
              <w:t>Normalizované skóre</w:t>
            </w:r>
          </w:p>
        </w:tc>
        <w:tc>
          <w:tcPr>
            <w:tcW w:w="1681" w:type="dxa"/>
          </w:tcPr>
          <w:p w14:paraId="539B4A99" w14:textId="759AD6A8" w:rsidR="00376EAC" w:rsidRDefault="00376EAC">
            <w:r>
              <w:t>Vůči CZ</w:t>
            </w:r>
          </w:p>
        </w:tc>
        <w:tc>
          <w:tcPr>
            <w:tcW w:w="1681" w:type="dxa"/>
          </w:tcPr>
          <w:p w14:paraId="0789BFFA" w14:textId="389781F1" w:rsidR="00376EAC" w:rsidRDefault="00376EAC">
            <w:r>
              <w:t>Vůči EU</w:t>
            </w:r>
          </w:p>
        </w:tc>
      </w:tr>
      <w:tr w:rsidR="004543ED" w14:paraId="36F498FE" w14:textId="77777777" w:rsidTr="00F107BD">
        <w:tc>
          <w:tcPr>
            <w:tcW w:w="3307" w:type="dxa"/>
          </w:tcPr>
          <w:p w14:paraId="0F5DCFC3" w14:textId="0A7D8D6B" w:rsidR="00376EAC" w:rsidRDefault="005F5B0C" w:rsidP="00376EAC">
            <w:r>
              <w:t>Vysokoškolsky vzdělaní</w:t>
            </w:r>
          </w:p>
        </w:tc>
        <w:tc>
          <w:tcPr>
            <w:tcW w:w="836" w:type="dxa"/>
          </w:tcPr>
          <w:p w14:paraId="1CF837BF" w14:textId="34956F49" w:rsidR="00376EAC" w:rsidRDefault="00376EAC" w:rsidP="00376EAC">
            <w:r w:rsidRPr="000629E8">
              <w:t>19,8</w:t>
            </w:r>
          </w:p>
        </w:tc>
        <w:tc>
          <w:tcPr>
            <w:tcW w:w="1566" w:type="dxa"/>
          </w:tcPr>
          <w:p w14:paraId="797F4DEF" w14:textId="63DB109E" w:rsidR="00376EAC" w:rsidRDefault="00376EAC" w:rsidP="00376EAC">
            <w:r w:rsidRPr="000629E8">
              <w:t>0,099</w:t>
            </w:r>
          </w:p>
        </w:tc>
        <w:tc>
          <w:tcPr>
            <w:tcW w:w="1681" w:type="dxa"/>
          </w:tcPr>
          <w:p w14:paraId="23DDC8D4" w14:textId="66197A14" w:rsidR="00376EAC" w:rsidRDefault="00376EAC" w:rsidP="00376EAC">
            <w:r w:rsidRPr="000629E8">
              <w:t>28</w:t>
            </w:r>
          </w:p>
        </w:tc>
        <w:tc>
          <w:tcPr>
            <w:tcW w:w="1681" w:type="dxa"/>
          </w:tcPr>
          <w:p w14:paraId="0E6E425D" w14:textId="7A6D34B1" w:rsidR="00376EAC" w:rsidRDefault="00376EAC" w:rsidP="00376EAC">
            <w:r w:rsidRPr="000629E8">
              <w:t>21</w:t>
            </w:r>
          </w:p>
        </w:tc>
      </w:tr>
      <w:tr w:rsidR="004543ED" w14:paraId="79AD0AFC" w14:textId="77777777" w:rsidTr="00F107BD">
        <w:tc>
          <w:tcPr>
            <w:tcW w:w="3307" w:type="dxa"/>
          </w:tcPr>
          <w:p w14:paraId="609E0C62" w14:textId="034EDC2F" w:rsidR="00376EAC" w:rsidRDefault="005F5B0C" w:rsidP="00376EAC">
            <w:r>
              <w:t>Celoživotní vzdělání</w:t>
            </w:r>
          </w:p>
        </w:tc>
        <w:tc>
          <w:tcPr>
            <w:tcW w:w="836" w:type="dxa"/>
          </w:tcPr>
          <w:p w14:paraId="2A4DE9B7" w14:textId="4A8B6BED" w:rsidR="00376EAC" w:rsidRDefault="00376EAC" w:rsidP="00376EAC">
            <w:r w:rsidRPr="000629E8">
              <w:t>6,8</w:t>
            </w:r>
          </w:p>
        </w:tc>
        <w:tc>
          <w:tcPr>
            <w:tcW w:w="1566" w:type="dxa"/>
          </w:tcPr>
          <w:p w14:paraId="0A0BCA5B" w14:textId="61B8463A" w:rsidR="00376EAC" w:rsidRDefault="00376EAC" w:rsidP="00376EAC">
            <w:r w:rsidRPr="000629E8">
              <w:t>0,188</w:t>
            </w:r>
          </w:p>
        </w:tc>
        <w:tc>
          <w:tcPr>
            <w:tcW w:w="1681" w:type="dxa"/>
          </w:tcPr>
          <w:p w14:paraId="015EB35E" w14:textId="756B04D2" w:rsidR="00376EAC" w:rsidRDefault="00376EAC" w:rsidP="00376EAC">
            <w:r w:rsidRPr="000629E8">
              <w:t>67</w:t>
            </w:r>
          </w:p>
        </w:tc>
        <w:tc>
          <w:tcPr>
            <w:tcW w:w="1681" w:type="dxa"/>
          </w:tcPr>
          <w:p w14:paraId="2913DA5E" w14:textId="25A4DFC1" w:rsidR="00376EAC" w:rsidRDefault="00376EAC" w:rsidP="00376EAC">
            <w:r w:rsidRPr="000629E8">
              <w:t>60</w:t>
            </w:r>
          </w:p>
        </w:tc>
      </w:tr>
      <w:tr w:rsidR="004543ED" w14:paraId="5A762BEE" w14:textId="77777777" w:rsidTr="00F107BD">
        <w:tc>
          <w:tcPr>
            <w:tcW w:w="3307" w:type="dxa"/>
          </w:tcPr>
          <w:p w14:paraId="7E8B4BC8" w14:textId="7B45249D" w:rsidR="00376EAC" w:rsidRDefault="005F5B0C" w:rsidP="00376EAC">
            <w:r>
              <w:t>Mezinárodní vědecké publikace</w:t>
            </w:r>
          </w:p>
        </w:tc>
        <w:tc>
          <w:tcPr>
            <w:tcW w:w="836" w:type="dxa"/>
          </w:tcPr>
          <w:p w14:paraId="40E74559" w14:textId="4128C581" w:rsidR="00376EAC" w:rsidRDefault="00376EAC" w:rsidP="00376EAC">
            <w:r w:rsidRPr="000629E8">
              <w:t>66</w:t>
            </w:r>
          </w:p>
        </w:tc>
        <w:tc>
          <w:tcPr>
            <w:tcW w:w="1566" w:type="dxa"/>
          </w:tcPr>
          <w:p w14:paraId="035C2D65" w14:textId="542DD043" w:rsidR="00376EAC" w:rsidRDefault="00376EAC" w:rsidP="00376EAC">
            <w:r w:rsidRPr="000629E8">
              <w:t>0,145</w:t>
            </w:r>
          </w:p>
        </w:tc>
        <w:tc>
          <w:tcPr>
            <w:tcW w:w="1681" w:type="dxa"/>
          </w:tcPr>
          <w:p w14:paraId="024628CD" w14:textId="7C9B717A" w:rsidR="00376EAC" w:rsidRDefault="00376EAC" w:rsidP="00376EAC">
            <w:r w:rsidRPr="000629E8">
              <w:t>29</w:t>
            </w:r>
          </w:p>
        </w:tc>
        <w:tc>
          <w:tcPr>
            <w:tcW w:w="1681" w:type="dxa"/>
          </w:tcPr>
          <w:p w14:paraId="58980149" w14:textId="725D5F09" w:rsidR="00376EAC" w:rsidRDefault="00376EAC" w:rsidP="00376EAC">
            <w:r w:rsidRPr="000629E8">
              <w:t>25</w:t>
            </w:r>
          </w:p>
        </w:tc>
      </w:tr>
      <w:tr w:rsidR="004543ED" w14:paraId="1B603113" w14:textId="77777777" w:rsidTr="00F107BD">
        <w:tc>
          <w:tcPr>
            <w:tcW w:w="3307" w:type="dxa"/>
          </w:tcPr>
          <w:p w14:paraId="02803536" w14:textId="70D9D0D0" w:rsidR="00376EAC" w:rsidRDefault="005F5B0C" w:rsidP="00376EAC">
            <w:r>
              <w:t>Nejvíce citované odborné články v impaktovaných periodikách</w:t>
            </w:r>
          </w:p>
        </w:tc>
        <w:tc>
          <w:tcPr>
            <w:tcW w:w="836" w:type="dxa"/>
          </w:tcPr>
          <w:p w14:paraId="0B8613BD" w14:textId="0313D715" w:rsidR="00376EAC" w:rsidRDefault="00376EAC" w:rsidP="00376EAC">
            <w:r w:rsidRPr="000629E8">
              <w:t>0,076</w:t>
            </w:r>
          </w:p>
        </w:tc>
        <w:tc>
          <w:tcPr>
            <w:tcW w:w="1566" w:type="dxa"/>
          </w:tcPr>
          <w:p w14:paraId="31AFF934" w14:textId="2B2EE904" w:rsidR="00376EAC" w:rsidRDefault="00376EAC" w:rsidP="00376EAC">
            <w:r w:rsidRPr="000629E8">
              <w:t>0,368</w:t>
            </w:r>
          </w:p>
        </w:tc>
        <w:tc>
          <w:tcPr>
            <w:tcW w:w="1681" w:type="dxa"/>
          </w:tcPr>
          <w:p w14:paraId="46F80B8F" w14:textId="41AE14A0" w:rsidR="00376EAC" w:rsidRDefault="00376EAC" w:rsidP="00376EAC">
            <w:r w:rsidRPr="000629E8">
              <w:t>119</w:t>
            </w:r>
          </w:p>
        </w:tc>
        <w:tc>
          <w:tcPr>
            <w:tcW w:w="1681" w:type="dxa"/>
          </w:tcPr>
          <w:p w14:paraId="34E04913" w14:textId="4E5A0442" w:rsidR="00376EAC" w:rsidRDefault="00376EAC" w:rsidP="00376EAC">
            <w:r w:rsidRPr="000629E8">
              <w:t>68</w:t>
            </w:r>
          </w:p>
        </w:tc>
      </w:tr>
      <w:tr w:rsidR="004543ED" w14:paraId="19020C0E" w14:textId="77777777" w:rsidTr="00F107BD">
        <w:tc>
          <w:tcPr>
            <w:tcW w:w="3307" w:type="dxa"/>
          </w:tcPr>
          <w:p w14:paraId="54477134" w14:textId="055A5367" w:rsidR="00376EAC" w:rsidRDefault="005F5B0C" w:rsidP="00376EAC">
            <w:r>
              <w:t>Výdaje na výzkum a vývoj ve veřejném sektoru</w:t>
            </w:r>
          </w:p>
        </w:tc>
        <w:tc>
          <w:tcPr>
            <w:tcW w:w="836" w:type="dxa"/>
          </w:tcPr>
          <w:p w14:paraId="53CEC6C9" w14:textId="6E62326A" w:rsidR="00376EAC" w:rsidRDefault="00376EAC" w:rsidP="00376EAC">
            <w:r w:rsidRPr="000629E8">
              <w:t>0,05</w:t>
            </w:r>
          </w:p>
        </w:tc>
        <w:tc>
          <w:tcPr>
            <w:tcW w:w="1566" w:type="dxa"/>
          </w:tcPr>
          <w:p w14:paraId="3EACE044" w14:textId="4834EF90" w:rsidR="00376EAC" w:rsidRDefault="00376EAC" w:rsidP="00376EAC">
            <w:r w:rsidRPr="000629E8">
              <w:t>0,097</w:t>
            </w:r>
          </w:p>
        </w:tc>
        <w:tc>
          <w:tcPr>
            <w:tcW w:w="1681" w:type="dxa"/>
          </w:tcPr>
          <w:p w14:paraId="092462FA" w14:textId="31D7463F" w:rsidR="00376EAC" w:rsidRDefault="00376EAC" w:rsidP="00376EAC">
            <w:r w:rsidRPr="000629E8">
              <w:t>18</w:t>
            </w:r>
          </w:p>
        </w:tc>
        <w:tc>
          <w:tcPr>
            <w:tcW w:w="1681" w:type="dxa"/>
          </w:tcPr>
          <w:p w14:paraId="53F5D53B" w14:textId="2AAEBE0C" w:rsidR="00376EAC" w:rsidRDefault="00376EAC" w:rsidP="00376EAC">
            <w:r w:rsidRPr="000629E8">
              <w:t>17</w:t>
            </w:r>
          </w:p>
        </w:tc>
      </w:tr>
      <w:tr w:rsidR="004543ED" w14:paraId="311C04AB" w14:textId="77777777" w:rsidTr="00F107BD">
        <w:tc>
          <w:tcPr>
            <w:tcW w:w="3307" w:type="dxa"/>
          </w:tcPr>
          <w:p w14:paraId="7E9543D5" w14:textId="7D8DAE75" w:rsidR="00376EAC" w:rsidRDefault="005F5B0C" w:rsidP="00376EAC">
            <w:r w:rsidRPr="005F5B0C">
              <w:t>Výdaje na výzkum a vývoj v</w:t>
            </w:r>
            <w:r>
              <w:t> soukromém sektoru</w:t>
            </w:r>
          </w:p>
        </w:tc>
        <w:tc>
          <w:tcPr>
            <w:tcW w:w="836" w:type="dxa"/>
          </w:tcPr>
          <w:p w14:paraId="3F583EE9" w14:textId="0CBDA010" w:rsidR="00376EAC" w:rsidRDefault="00376EAC" w:rsidP="00376EAC">
            <w:r w:rsidRPr="000629E8">
              <w:t>0,24</w:t>
            </w:r>
          </w:p>
        </w:tc>
        <w:tc>
          <w:tcPr>
            <w:tcW w:w="1566" w:type="dxa"/>
          </w:tcPr>
          <w:p w14:paraId="3772464A" w14:textId="61B24726" w:rsidR="00376EAC" w:rsidRDefault="00376EAC" w:rsidP="00376EAC">
            <w:r w:rsidRPr="000629E8">
              <w:t>0,224</w:t>
            </w:r>
          </w:p>
        </w:tc>
        <w:tc>
          <w:tcPr>
            <w:tcW w:w="1681" w:type="dxa"/>
          </w:tcPr>
          <w:p w14:paraId="35FF4FF6" w14:textId="0F6065A2" w:rsidR="00376EAC" w:rsidRDefault="00376EAC" w:rsidP="00376EAC">
            <w:r w:rsidRPr="000629E8">
              <w:t>44</w:t>
            </w:r>
          </w:p>
        </w:tc>
        <w:tc>
          <w:tcPr>
            <w:tcW w:w="1681" w:type="dxa"/>
          </w:tcPr>
          <w:p w14:paraId="1EAB6A5C" w14:textId="0027AFC1" w:rsidR="00376EAC" w:rsidRDefault="00376EAC" w:rsidP="00376EAC">
            <w:r w:rsidRPr="000629E8">
              <w:t>38</w:t>
            </w:r>
          </w:p>
        </w:tc>
      </w:tr>
      <w:tr w:rsidR="004543ED" w14:paraId="71659899" w14:textId="77777777" w:rsidTr="00F107BD">
        <w:tc>
          <w:tcPr>
            <w:tcW w:w="3307" w:type="dxa"/>
          </w:tcPr>
          <w:p w14:paraId="1AEBE545" w14:textId="7D9FAAB5" w:rsidR="00376EAC" w:rsidRDefault="005F5B0C" w:rsidP="00376EAC">
            <w:r>
              <w:t>Výdaje na inovace</w:t>
            </w:r>
            <w:r w:rsidR="004543ED">
              <w:t xml:space="preserve"> (bez výzkumu)</w:t>
            </w:r>
          </w:p>
        </w:tc>
        <w:tc>
          <w:tcPr>
            <w:tcW w:w="836" w:type="dxa"/>
          </w:tcPr>
          <w:p w14:paraId="66C7570A" w14:textId="0D8E1F90" w:rsidR="00376EAC" w:rsidRDefault="00376EAC" w:rsidP="00376EAC">
            <w:r w:rsidRPr="000629E8">
              <w:t>±</w:t>
            </w:r>
          </w:p>
        </w:tc>
        <w:tc>
          <w:tcPr>
            <w:tcW w:w="1566" w:type="dxa"/>
          </w:tcPr>
          <w:p w14:paraId="086305B6" w14:textId="205D7D61" w:rsidR="00376EAC" w:rsidRDefault="00376EAC" w:rsidP="00376EAC">
            <w:r w:rsidRPr="000629E8">
              <w:t>0,909</w:t>
            </w:r>
          </w:p>
        </w:tc>
        <w:tc>
          <w:tcPr>
            <w:tcW w:w="1681" w:type="dxa"/>
          </w:tcPr>
          <w:p w14:paraId="59DEB9E2" w14:textId="3D9FBE92" w:rsidR="00376EAC" w:rsidRDefault="00376EAC" w:rsidP="00376EAC">
            <w:r w:rsidRPr="000629E8">
              <w:t>±</w:t>
            </w:r>
          </w:p>
        </w:tc>
        <w:tc>
          <w:tcPr>
            <w:tcW w:w="1681" w:type="dxa"/>
          </w:tcPr>
          <w:p w14:paraId="508DF7BB" w14:textId="345ECC45" w:rsidR="00376EAC" w:rsidRDefault="00376EAC" w:rsidP="00376EAC">
            <w:r w:rsidRPr="000629E8">
              <w:t>±</w:t>
            </w:r>
          </w:p>
        </w:tc>
      </w:tr>
      <w:tr w:rsidR="00376EAC" w14:paraId="346E9A0F" w14:textId="77777777" w:rsidTr="00F107BD">
        <w:tc>
          <w:tcPr>
            <w:tcW w:w="3307" w:type="dxa"/>
          </w:tcPr>
          <w:p w14:paraId="12A51879" w14:textId="1569C5A3" w:rsidR="00376EAC" w:rsidRDefault="005F5B0C" w:rsidP="00376EAC">
            <w:r>
              <w:t>Produktové/procesní inovace</w:t>
            </w:r>
          </w:p>
        </w:tc>
        <w:tc>
          <w:tcPr>
            <w:tcW w:w="836" w:type="dxa"/>
          </w:tcPr>
          <w:p w14:paraId="62A8A5C8" w14:textId="33CF35C1" w:rsidR="00376EAC" w:rsidRDefault="00376EAC" w:rsidP="00376EAC">
            <w:r w:rsidRPr="000629E8">
              <w:t>±</w:t>
            </w:r>
          </w:p>
        </w:tc>
        <w:tc>
          <w:tcPr>
            <w:tcW w:w="1566" w:type="dxa"/>
          </w:tcPr>
          <w:p w14:paraId="7AECE2F6" w14:textId="2F4DF9EB" w:rsidR="00376EAC" w:rsidRDefault="00376EAC" w:rsidP="00376EAC">
            <w:r w:rsidRPr="000629E8">
              <w:t>0,356</w:t>
            </w:r>
          </w:p>
        </w:tc>
        <w:tc>
          <w:tcPr>
            <w:tcW w:w="1681" w:type="dxa"/>
          </w:tcPr>
          <w:p w14:paraId="6CCBFA7D" w14:textId="5D7966D0" w:rsidR="00376EAC" w:rsidRDefault="00376EAC" w:rsidP="00376EAC">
            <w:r w:rsidRPr="000629E8">
              <w:t>±</w:t>
            </w:r>
          </w:p>
        </w:tc>
        <w:tc>
          <w:tcPr>
            <w:tcW w:w="1681" w:type="dxa"/>
          </w:tcPr>
          <w:p w14:paraId="685588D1" w14:textId="156A2D7B" w:rsidR="00376EAC" w:rsidRDefault="00376EAC" w:rsidP="00376EAC">
            <w:r w:rsidRPr="000629E8">
              <w:t>±</w:t>
            </w:r>
          </w:p>
        </w:tc>
      </w:tr>
      <w:tr w:rsidR="00376EAC" w14:paraId="7A51C35B" w14:textId="77777777" w:rsidTr="00F107BD">
        <w:tc>
          <w:tcPr>
            <w:tcW w:w="3307" w:type="dxa"/>
          </w:tcPr>
          <w:p w14:paraId="12190D04" w14:textId="191DD158" w:rsidR="00376EAC" w:rsidRDefault="005F5B0C" w:rsidP="00376EAC">
            <w:r>
              <w:t>Marketingové/organizační inovace</w:t>
            </w:r>
          </w:p>
        </w:tc>
        <w:tc>
          <w:tcPr>
            <w:tcW w:w="836" w:type="dxa"/>
          </w:tcPr>
          <w:p w14:paraId="66150494" w14:textId="255F7B16" w:rsidR="00376EAC" w:rsidRDefault="00376EAC" w:rsidP="00376EAC">
            <w:r w:rsidRPr="000629E8">
              <w:t>±</w:t>
            </w:r>
          </w:p>
        </w:tc>
        <w:tc>
          <w:tcPr>
            <w:tcW w:w="1566" w:type="dxa"/>
          </w:tcPr>
          <w:p w14:paraId="4F5D8F76" w14:textId="5B01C5B2" w:rsidR="00376EAC" w:rsidRDefault="00376EAC" w:rsidP="00376EAC">
            <w:r w:rsidRPr="000629E8">
              <w:t>0,325</w:t>
            </w:r>
          </w:p>
        </w:tc>
        <w:tc>
          <w:tcPr>
            <w:tcW w:w="1681" w:type="dxa"/>
          </w:tcPr>
          <w:p w14:paraId="535578B5" w14:textId="6E0A1B2C" w:rsidR="00376EAC" w:rsidRDefault="00376EAC" w:rsidP="00376EAC">
            <w:r w:rsidRPr="000629E8">
              <w:t>±</w:t>
            </w:r>
          </w:p>
        </w:tc>
        <w:tc>
          <w:tcPr>
            <w:tcW w:w="1681" w:type="dxa"/>
          </w:tcPr>
          <w:p w14:paraId="1104A59A" w14:textId="14C15B33" w:rsidR="00376EAC" w:rsidRDefault="00376EAC" w:rsidP="00376EAC">
            <w:r w:rsidRPr="000629E8">
              <w:t>±</w:t>
            </w:r>
          </w:p>
        </w:tc>
      </w:tr>
      <w:tr w:rsidR="00376EAC" w14:paraId="15976159" w14:textId="77777777" w:rsidTr="00F107BD">
        <w:tc>
          <w:tcPr>
            <w:tcW w:w="3307" w:type="dxa"/>
          </w:tcPr>
          <w:p w14:paraId="2DC08607" w14:textId="48FD0250" w:rsidR="00376EAC" w:rsidRDefault="005F5B0C" w:rsidP="00376EAC">
            <w:r>
              <w:t>Inovace v malých a středních podnicích</w:t>
            </w:r>
            <w:r w:rsidR="00F107BD">
              <w:t xml:space="preserve"> (MSP)</w:t>
            </w:r>
          </w:p>
        </w:tc>
        <w:tc>
          <w:tcPr>
            <w:tcW w:w="836" w:type="dxa"/>
          </w:tcPr>
          <w:p w14:paraId="4DE279B5" w14:textId="58D482E0" w:rsidR="00376EAC" w:rsidRDefault="00376EAC" w:rsidP="00376EAC">
            <w:r w:rsidRPr="000629E8">
              <w:t>±</w:t>
            </w:r>
          </w:p>
        </w:tc>
        <w:tc>
          <w:tcPr>
            <w:tcW w:w="1566" w:type="dxa"/>
          </w:tcPr>
          <w:p w14:paraId="0463F351" w14:textId="6BADB2EC" w:rsidR="00376EAC" w:rsidRDefault="00376EAC" w:rsidP="00376EAC">
            <w:r w:rsidRPr="000629E8">
              <w:t>0,339</w:t>
            </w:r>
          </w:p>
        </w:tc>
        <w:tc>
          <w:tcPr>
            <w:tcW w:w="1681" w:type="dxa"/>
          </w:tcPr>
          <w:p w14:paraId="097A26BF" w14:textId="01B608FD" w:rsidR="00376EAC" w:rsidRDefault="00376EAC" w:rsidP="00376EAC">
            <w:r w:rsidRPr="000629E8">
              <w:t>±</w:t>
            </w:r>
          </w:p>
        </w:tc>
        <w:tc>
          <w:tcPr>
            <w:tcW w:w="1681" w:type="dxa"/>
          </w:tcPr>
          <w:p w14:paraId="2E2D2955" w14:textId="3F839220" w:rsidR="00376EAC" w:rsidRDefault="00376EAC" w:rsidP="00376EAC">
            <w:r w:rsidRPr="000629E8">
              <w:t>±</w:t>
            </w:r>
          </w:p>
        </w:tc>
      </w:tr>
      <w:tr w:rsidR="00376EAC" w14:paraId="097FB70D" w14:textId="77777777" w:rsidTr="00F107BD">
        <w:tc>
          <w:tcPr>
            <w:tcW w:w="3307" w:type="dxa"/>
          </w:tcPr>
          <w:p w14:paraId="6B7E4109" w14:textId="1A0B3F39" w:rsidR="00376EAC" w:rsidRDefault="00F107BD" w:rsidP="00376EAC">
            <w:r>
              <w:t>Spolupráce inovativních MSP</w:t>
            </w:r>
          </w:p>
        </w:tc>
        <w:tc>
          <w:tcPr>
            <w:tcW w:w="836" w:type="dxa"/>
          </w:tcPr>
          <w:p w14:paraId="6591EED4" w14:textId="3589A2A8" w:rsidR="00376EAC" w:rsidRDefault="00376EAC" w:rsidP="00376EAC">
            <w:r w:rsidRPr="000629E8">
              <w:t>±</w:t>
            </w:r>
          </w:p>
        </w:tc>
        <w:tc>
          <w:tcPr>
            <w:tcW w:w="1566" w:type="dxa"/>
          </w:tcPr>
          <w:p w14:paraId="2A841EE6" w14:textId="7C31C704" w:rsidR="00376EAC" w:rsidRDefault="00376EAC" w:rsidP="00376EAC">
            <w:r w:rsidRPr="000629E8">
              <w:t>0,385</w:t>
            </w:r>
          </w:p>
        </w:tc>
        <w:tc>
          <w:tcPr>
            <w:tcW w:w="1681" w:type="dxa"/>
          </w:tcPr>
          <w:p w14:paraId="29A215E7" w14:textId="1CACE94E" w:rsidR="00376EAC" w:rsidRDefault="00376EAC" w:rsidP="00376EAC">
            <w:r w:rsidRPr="000629E8">
              <w:t>±</w:t>
            </w:r>
          </w:p>
        </w:tc>
        <w:tc>
          <w:tcPr>
            <w:tcW w:w="1681" w:type="dxa"/>
          </w:tcPr>
          <w:p w14:paraId="4A2F092C" w14:textId="307F0AC3" w:rsidR="00376EAC" w:rsidRDefault="00376EAC" w:rsidP="00376EAC">
            <w:r w:rsidRPr="000629E8">
              <w:t>±</w:t>
            </w:r>
          </w:p>
        </w:tc>
      </w:tr>
      <w:tr w:rsidR="00F107BD" w14:paraId="6EB49350" w14:textId="77777777" w:rsidTr="00F107BD">
        <w:tc>
          <w:tcPr>
            <w:tcW w:w="3307" w:type="dxa"/>
          </w:tcPr>
          <w:p w14:paraId="039E2DF1" w14:textId="2952083A" w:rsidR="00F107BD" w:rsidRDefault="00F107BD" w:rsidP="00F107BD">
            <w:r>
              <w:t>Publikace ve spolupráci soukromého a veřejného sektoru</w:t>
            </w:r>
          </w:p>
        </w:tc>
        <w:tc>
          <w:tcPr>
            <w:tcW w:w="836" w:type="dxa"/>
          </w:tcPr>
          <w:p w14:paraId="66551D36" w14:textId="14CCA1E0" w:rsidR="00F107BD" w:rsidRDefault="00F107BD" w:rsidP="00F107BD">
            <w:r w:rsidRPr="000629E8">
              <w:t>5,4</w:t>
            </w:r>
          </w:p>
        </w:tc>
        <w:tc>
          <w:tcPr>
            <w:tcW w:w="1566" w:type="dxa"/>
          </w:tcPr>
          <w:p w14:paraId="6A4E9654" w14:textId="096AC959" w:rsidR="00F107BD" w:rsidRDefault="00F107BD" w:rsidP="00F107BD">
            <w:r w:rsidRPr="000629E8">
              <w:t>0,149</w:t>
            </w:r>
          </w:p>
        </w:tc>
        <w:tc>
          <w:tcPr>
            <w:tcW w:w="1681" w:type="dxa"/>
          </w:tcPr>
          <w:p w14:paraId="63E9FC11" w14:textId="60BB0CEF" w:rsidR="00F107BD" w:rsidRDefault="00F107BD" w:rsidP="00F107BD">
            <w:r w:rsidRPr="000629E8">
              <w:t>51</w:t>
            </w:r>
          </w:p>
        </w:tc>
        <w:tc>
          <w:tcPr>
            <w:tcW w:w="1681" w:type="dxa"/>
          </w:tcPr>
          <w:p w14:paraId="2277F311" w14:textId="02EC101C" w:rsidR="00F107BD" w:rsidRDefault="00F107BD" w:rsidP="00F107BD">
            <w:r w:rsidRPr="000629E8">
              <w:t>36</w:t>
            </w:r>
          </w:p>
        </w:tc>
      </w:tr>
      <w:tr w:rsidR="00F107BD" w14:paraId="78F29006" w14:textId="77777777" w:rsidTr="00F107BD">
        <w:tc>
          <w:tcPr>
            <w:tcW w:w="3307" w:type="dxa"/>
          </w:tcPr>
          <w:p w14:paraId="2084507C" w14:textId="1BB87E60" w:rsidR="00F107BD" w:rsidRDefault="00F107BD" w:rsidP="00F107BD">
            <w:r>
              <w:t>Počet patentových přihlášek</w:t>
            </w:r>
          </w:p>
        </w:tc>
        <w:tc>
          <w:tcPr>
            <w:tcW w:w="836" w:type="dxa"/>
          </w:tcPr>
          <w:p w14:paraId="0F107898" w14:textId="3532A923" w:rsidR="00F107BD" w:rsidRDefault="00F107BD" w:rsidP="00F107BD">
            <w:r w:rsidRPr="000629E8">
              <w:t>1,66</w:t>
            </w:r>
          </w:p>
        </w:tc>
        <w:tc>
          <w:tcPr>
            <w:tcW w:w="1566" w:type="dxa"/>
          </w:tcPr>
          <w:p w14:paraId="05EF2701" w14:textId="738F6893" w:rsidR="00F107BD" w:rsidRDefault="00F107BD" w:rsidP="00F107BD">
            <w:r w:rsidRPr="000629E8">
              <w:t>0,137</w:t>
            </w:r>
          </w:p>
        </w:tc>
        <w:tc>
          <w:tcPr>
            <w:tcW w:w="1681" w:type="dxa"/>
          </w:tcPr>
          <w:p w14:paraId="42B8054A" w14:textId="5FABBD78" w:rsidR="00F107BD" w:rsidRDefault="00F107BD" w:rsidP="00F107BD">
            <w:r w:rsidRPr="000629E8">
              <w:t>76</w:t>
            </w:r>
          </w:p>
        </w:tc>
        <w:tc>
          <w:tcPr>
            <w:tcW w:w="1681" w:type="dxa"/>
          </w:tcPr>
          <w:p w14:paraId="28AFBD01" w14:textId="5A909E5A" w:rsidR="00F107BD" w:rsidRDefault="00F107BD" w:rsidP="00F107BD">
            <w:r w:rsidRPr="000629E8">
              <w:t>32</w:t>
            </w:r>
          </w:p>
        </w:tc>
      </w:tr>
      <w:tr w:rsidR="00F107BD" w14:paraId="5B961CF2" w14:textId="77777777" w:rsidTr="00F107BD">
        <w:tc>
          <w:tcPr>
            <w:tcW w:w="3307" w:type="dxa"/>
          </w:tcPr>
          <w:p w14:paraId="0C8C2D05" w14:textId="73E83C6F" w:rsidR="00F107BD" w:rsidRDefault="00F107BD" w:rsidP="00F107BD">
            <w:r>
              <w:t>Počet přihlášek pro ochrannou známku</w:t>
            </w:r>
          </w:p>
        </w:tc>
        <w:tc>
          <w:tcPr>
            <w:tcW w:w="836" w:type="dxa"/>
          </w:tcPr>
          <w:p w14:paraId="78A7CF96" w14:textId="7917C2E6" w:rsidR="00F107BD" w:rsidRDefault="00F107BD" w:rsidP="00F107BD">
            <w:r w:rsidRPr="000629E8">
              <w:t>3,38</w:t>
            </w:r>
          </w:p>
        </w:tc>
        <w:tc>
          <w:tcPr>
            <w:tcW w:w="1566" w:type="dxa"/>
          </w:tcPr>
          <w:p w14:paraId="58D3A53A" w14:textId="1F9CFA73" w:rsidR="00F107BD" w:rsidRDefault="00F107BD" w:rsidP="00F107BD">
            <w:r w:rsidRPr="000629E8">
              <w:t>0,235</w:t>
            </w:r>
          </w:p>
        </w:tc>
        <w:tc>
          <w:tcPr>
            <w:tcW w:w="1681" w:type="dxa"/>
          </w:tcPr>
          <w:p w14:paraId="4A768619" w14:textId="6440E238" w:rsidR="00F107BD" w:rsidRDefault="00F107BD" w:rsidP="00F107BD">
            <w:r w:rsidRPr="000629E8">
              <w:t>88</w:t>
            </w:r>
          </w:p>
        </w:tc>
        <w:tc>
          <w:tcPr>
            <w:tcW w:w="1681" w:type="dxa"/>
          </w:tcPr>
          <w:p w14:paraId="400359BA" w14:textId="28337362" w:rsidR="00F107BD" w:rsidRDefault="00F107BD" w:rsidP="00F107BD">
            <w:r w:rsidRPr="000629E8">
              <w:t>53</w:t>
            </w:r>
          </w:p>
        </w:tc>
      </w:tr>
      <w:tr w:rsidR="00F107BD" w14:paraId="3FD8E38F" w14:textId="77777777" w:rsidTr="00F107BD">
        <w:tc>
          <w:tcPr>
            <w:tcW w:w="3307" w:type="dxa"/>
          </w:tcPr>
          <w:p w14:paraId="77765E76" w14:textId="2F63634A" w:rsidR="00F107BD" w:rsidRDefault="00F107BD" w:rsidP="00F107BD">
            <w:r>
              <w:t>Počet přihlášek pro technický vzor (ochranu designu)</w:t>
            </w:r>
          </w:p>
        </w:tc>
        <w:tc>
          <w:tcPr>
            <w:tcW w:w="836" w:type="dxa"/>
          </w:tcPr>
          <w:p w14:paraId="1312CE1B" w14:textId="58DE45CD" w:rsidR="00F107BD" w:rsidRDefault="00F107BD" w:rsidP="00F107BD">
            <w:r w:rsidRPr="000629E8">
              <w:t>0,34</w:t>
            </w:r>
          </w:p>
        </w:tc>
        <w:tc>
          <w:tcPr>
            <w:tcW w:w="1566" w:type="dxa"/>
          </w:tcPr>
          <w:p w14:paraId="53799163" w14:textId="6228A316" w:rsidR="00F107BD" w:rsidRDefault="00F107BD" w:rsidP="00F107BD">
            <w:r w:rsidRPr="000629E8">
              <w:t>0,120</w:t>
            </w:r>
          </w:p>
        </w:tc>
        <w:tc>
          <w:tcPr>
            <w:tcW w:w="1681" w:type="dxa"/>
          </w:tcPr>
          <w:p w14:paraId="79CB69EA" w14:textId="4C05661F" w:rsidR="00F107BD" w:rsidRDefault="00F107BD" w:rsidP="00F107BD">
            <w:r w:rsidRPr="000629E8">
              <w:t>21</w:t>
            </w:r>
          </w:p>
        </w:tc>
        <w:tc>
          <w:tcPr>
            <w:tcW w:w="1681" w:type="dxa"/>
          </w:tcPr>
          <w:p w14:paraId="0BAB25E1" w14:textId="062B9905" w:rsidR="00F107BD" w:rsidRDefault="00F107BD" w:rsidP="00F107BD">
            <w:r w:rsidRPr="000629E8">
              <w:t>24</w:t>
            </w:r>
          </w:p>
        </w:tc>
      </w:tr>
      <w:tr w:rsidR="00376EAC" w14:paraId="78BE18F4" w14:textId="77777777" w:rsidTr="00F107BD">
        <w:tc>
          <w:tcPr>
            <w:tcW w:w="3307" w:type="dxa"/>
          </w:tcPr>
          <w:p w14:paraId="7E9EAEFA" w14:textId="4E9CB99B" w:rsidR="00376EAC" w:rsidRDefault="00D65EEC" w:rsidP="00376EAC">
            <w:r>
              <w:t>Zaměstnanci v odvětví s vysokou technologickou náročností a znalostně intenzivních průmyslech</w:t>
            </w:r>
          </w:p>
        </w:tc>
        <w:tc>
          <w:tcPr>
            <w:tcW w:w="836" w:type="dxa"/>
          </w:tcPr>
          <w:p w14:paraId="28AB9858" w14:textId="5199FB8E" w:rsidR="00376EAC" w:rsidRDefault="00376EAC" w:rsidP="00376EAC">
            <w:r w:rsidRPr="000629E8">
              <w:t>14,5</w:t>
            </w:r>
          </w:p>
        </w:tc>
        <w:tc>
          <w:tcPr>
            <w:tcW w:w="1566" w:type="dxa"/>
          </w:tcPr>
          <w:p w14:paraId="5A00349E" w14:textId="1B544CE8" w:rsidR="00376EAC" w:rsidRDefault="00376EAC" w:rsidP="00376EAC">
            <w:r w:rsidRPr="000629E8">
              <w:t>0,468</w:t>
            </w:r>
          </w:p>
        </w:tc>
        <w:tc>
          <w:tcPr>
            <w:tcW w:w="1681" w:type="dxa"/>
          </w:tcPr>
          <w:p w14:paraId="54EF8AA2" w14:textId="0C171D5A" w:rsidR="00376EAC" w:rsidRDefault="00376EAC" w:rsidP="00376EAC">
            <w:r w:rsidRPr="000629E8">
              <w:t>68</w:t>
            </w:r>
          </w:p>
        </w:tc>
        <w:tc>
          <w:tcPr>
            <w:tcW w:w="1681" w:type="dxa"/>
          </w:tcPr>
          <w:p w14:paraId="04A63EA6" w14:textId="6DCDBA98" w:rsidR="00376EAC" w:rsidRDefault="00376EAC" w:rsidP="00376EAC">
            <w:r w:rsidRPr="000629E8">
              <w:t>93</w:t>
            </w:r>
          </w:p>
        </w:tc>
      </w:tr>
      <w:tr w:rsidR="00376EAC" w14:paraId="6CFAA272" w14:textId="77777777" w:rsidTr="00F107BD">
        <w:tc>
          <w:tcPr>
            <w:tcW w:w="3307" w:type="dxa"/>
          </w:tcPr>
          <w:p w14:paraId="2FD040C1" w14:textId="61363A1B" w:rsidR="00376EAC" w:rsidRDefault="00F107BD" w:rsidP="00376EAC">
            <w:r>
              <w:t>Prodej na nové trhy/firemní inovace</w:t>
            </w:r>
          </w:p>
        </w:tc>
        <w:tc>
          <w:tcPr>
            <w:tcW w:w="836" w:type="dxa"/>
          </w:tcPr>
          <w:p w14:paraId="6350E62E" w14:textId="087C3C34" w:rsidR="00376EAC" w:rsidRDefault="00376EAC" w:rsidP="00376EAC">
            <w:r w:rsidRPr="000629E8">
              <w:t>±</w:t>
            </w:r>
          </w:p>
        </w:tc>
        <w:tc>
          <w:tcPr>
            <w:tcW w:w="1566" w:type="dxa"/>
          </w:tcPr>
          <w:p w14:paraId="319B6A26" w14:textId="211E486C" w:rsidR="00376EAC" w:rsidRDefault="00376EAC" w:rsidP="00376EAC">
            <w:r w:rsidRPr="000629E8">
              <w:t>0,563</w:t>
            </w:r>
          </w:p>
        </w:tc>
        <w:tc>
          <w:tcPr>
            <w:tcW w:w="1681" w:type="dxa"/>
          </w:tcPr>
          <w:p w14:paraId="3243FBD0" w14:textId="21CD0D2F" w:rsidR="00376EAC" w:rsidRDefault="00376EAC" w:rsidP="00376EAC">
            <w:r w:rsidRPr="000629E8">
              <w:t>±</w:t>
            </w:r>
          </w:p>
        </w:tc>
        <w:tc>
          <w:tcPr>
            <w:tcW w:w="1681" w:type="dxa"/>
          </w:tcPr>
          <w:p w14:paraId="75202364" w14:textId="527F9585" w:rsidR="00376EAC" w:rsidRDefault="00376EAC" w:rsidP="00376EAC">
            <w:r w:rsidRPr="000629E8">
              <w:t>±</w:t>
            </w:r>
          </w:p>
        </w:tc>
      </w:tr>
      <w:tr w:rsidR="00376EAC" w14:paraId="58610796" w14:textId="77777777" w:rsidTr="00F107BD">
        <w:tc>
          <w:tcPr>
            <w:tcW w:w="3307" w:type="dxa"/>
          </w:tcPr>
          <w:p w14:paraId="6636D7A3" w14:textId="77072DC6" w:rsidR="00376EAC" w:rsidRDefault="00F107BD" w:rsidP="00376EAC">
            <w:r>
              <w:t>Průměrné skóre</w:t>
            </w:r>
          </w:p>
        </w:tc>
        <w:tc>
          <w:tcPr>
            <w:tcW w:w="836" w:type="dxa"/>
          </w:tcPr>
          <w:p w14:paraId="60FB7B87" w14:textId="0397FA2B" w:rsidR="00376EAC" w:rsidRDefault="00376EAC" w:rsidP="00376EAC">
            <w:r w:rsidRPr="000629E8">
              <w:t>--</w:t>
            </w:r>
          </w:p>
        </w:tc>
        <w:tc>
          <w:tcPr>
            <w:tcW w:w="1566" w:type="dxa"/>
          </w:tcPr>
          <w:p w14:paraId="2ABED8CA" w14:textId="7864F7D8" w:rsidR="00376EAC" w:rsidRDefault="00376EAC" w:rsidP="00376EAC">
            <w:r w:rsidRPr="000629E8">
              <w:t>0,300</w:t>
            </w:r>
          </w:p>
        </w:tc>
        <w:tc>
          <w:tcPr>
            <w:tcW w:w="1681" w:type="dxa"/>
          </w:tcPr>
          <w:p w14:paraId="768F82B0" w14:textId="54850A76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7A959AD0" w14:textId="0EEF276A" w:rsidR="00376EAC" w:rsidRDefault="00376EAC" w:rsidP="00376EAC">
            <w:r w:rsidRPr="000629E8">
              <w:t>--</w:t>
            </w:r>
          </w:p>
        </w:tc>
      </w:tr>
      <w:tr w:rsidR="00376EAC" w14:paraId="4300AF77" w14:textId="77777777" w:rsidTr="00F107BD">
        <w:tc>
          <w:tcPr>
            <w:tcW w:w="3307" w:type="dxa"/>
          </w:tcPr>
          <w:p w14:paraId="1D6CE03C" w14:textId="6FE7A443" w:rsidR="00376EAC" w:rsidRDefault="00F107BD" w:rsidP="00376EAC">
            <w:r>
              <w:t>Korekční faktor regionálního inovačního skóre</w:t>
            </w:r>
          </w:p>
        </w:tc>
        <w:tc>
          <w:tcPr>
            <w:tcW w:w="836" w:type="dxa"/>
          </w:tcPr>
          <w:p w14:paraId="74E30FFF" w14:textId="07C7B91F" w:rsidR="00376EAC" w:rsidRDefault="00376EAC" w:rsidP="00376EAC">
            <w:r w:rsidRPr="000629E8">
              <w:t>--</w:t>
            </w:r>
          </w:p>
        </w:tc>
        <w:tc>
          <w:tcPr>
            <w:tcW w:w="1566" w:type="dxa"/>
          </w:tcPr>
          <w:p w14:paraId="45E99E4D" w14:textId="141582CD" w:rsidR="00376EAC" w:rsidRDefault="00376EAC" w:rsidP="00376EAC">
            <w:r w:rsidRPr="000629E8">
              <w:t>0,928</w:t>
            </w:r>
          </w:p>
        </w:tc>
        <w:tc>
          <w:tcPr>
            <w:tcW w:w="1681" w:type="dxa"/>
          </w:tcPr>
          <w:p w14:paraId="2E6AC2C5" w14:textId="1847B037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50BECE64" w14:textId="113FFB3C" w:rsidR="00376EAC" w:rsidRDefault="00376EAC" w:rsidP="00376EAC">
            <w:r w:rsidRPr="000629E8">
              <w:t>--</w:t>
            </w:r>
          </w:p>
        </w:tc>
      </w:tr>
      <w:tr w:rsidR="00376EAC" w14:paraId="20AECF3E" w14:textId="77777777" w:rsidTr="00F107BD">
        <w:tc>
          <w:tcPr>
            <w:tcW w:w="3307" w:type="dxa"/>
          </w:tcPr>
          <w:p w14:paraId="0C58399B" w14:textId="000A7C9D" w:rsidR="00376EAC" w:rsidRDefault="00F107BD" w:rsidP="00376EAC">
            <w:r>
              <w:t>Regionální inovační index 2019</w:t>
            </w:r>
          </w:p>
        </w:tc>
        <w:tc>
          <w:tcPr>
            <w:tcW w:w="836" w:type="dxa"/>
          </w:tcPr>
          <w:p w14:paraId="2FA6ACD3" w14:textId="5E95EAB0" w:rsidR="00376EAC" w:rsidRDefault="00376EAC" w:rsidP="00376EAC">
            <w:r w:rsidRPr="000629E8">
              <w:t>--</w:t>
            </w:r>
          </w:p>
        </w:tc>
        <w:tc>
          <w:tcPr>
            <w:tcW w:w="1566" w:type="dxa"/>
          </w:tcPr>
          <w:p w14:paraId="2840F95D" w14:textId="38593D20" w:rsidR="00376EAC" w:rsidRDefault="00376EAC" w:rsidP="00376EAC">
            <w:r w:rsidRPr="000629E8">
              <w:t>0,279</w:t>
            </w:r>
          </w:p>
        </w:tc>
        <w:tc>
          <w:tcPr>
            <w:tcW w:w="1681" w:type="dxa"/>
          </w:tcPr>
          <w:p w14:paraId="5FAB2F0A" w14:textId="528AD0A3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45386CB2" w14:textId="3272D927" w:rsidR="00376EAC" w:rsidRDefault="00376EAC" w:rsidP="00376EAC">
            <w:r w:rsidRPr="000629E8">
              <w:t>--</w:t>
            </w:r>
          </w:p>
        </w:tc>
      </w:tr>
      <w:tr w:rsidR="00376EAC" w14:paraId="7305C14D" w14:textId="77777777" w:rsidTr="00F107BD">
        <w:tc>
          <w:tcPr>
            <w:tcW w:w="3307" w:type="dxa"/>
          </w:tcPr>
          <w:p w14:paraId="6D514A8C" w14:textId="0082B2E7" w:rsidR="00376EAC" w:rsidRDefault="00F107BD" w:rsidP="00376EAC">
            <w:r>
              <w:t>RII 2019</w:t>
            </w:r>
          </w:p>
        </w:tc>
        <w:tc>
          <w:tcPr>
            <w:tcW w:w="836" w:type="dxa"/>
          </w:tcPr>
          <w:p w14:paraId="62A5D292" w14:textId="7B018222" w:rsidR="00376EAC" w:rsidRDefault="00376EAC" w:rsidP="00376EAC">
            <w:r w:rsidRPr="000629E8">
              <w:t>--</w:t>
            </w:r>
          </w:p>
        </w:tc>
        <w:tc>
          <w:tcPr>
            <w:tcW w:w="1566" w:type="dxa"/>
          </w:tcPr>
          <w:p w14:paraId="0E8C12AB" w14:textId="03EA51CF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2EB4E59E" w14:textId="4F5124A0" w:rsidR="00376EAC" w:rsidRDefault="00376EAC" w:rsidP="00376EAC">
            <w:r w:rsidRPr="000629E8">
              <w:t>69,8</w:t>
            </w:r>
          </w:p>
        </w:tc>
        <w:tc>
          <w:tcPr>
            <w:tcW w:w="1681" w:type="dxa"/>
          </w:tcPr>
          <w:p w14:paraId="6CD99A6A" w14:textId="76F6F154" w:rsidR="00376EAC" w:rsidRDefault="00376EAC" w:rsidP="00376EAC">
            <w:r w:rsidRPr="000629E8">
              <w:t>57,4</w:t>
            </w:r>
          </w:p>
        </w:tc>
      </w:tr>
      <w:tr w:rsidR="00376EAC" w14:paraId="2F691D63" w14:textId="77777777" w:rsidTr="00F107BD">
        <w:tc>
          <w:tcPr>
            <w:tcW w:w="3307" w:type="dxa"/>
          </w:tcPr>
          <w:p w14:paraId="3ED59D49" w14:textId="6E042169" w:rsidR="00376EAC" w:rsidRDefault="00F107BD" w:rsidP="00376EAC">
            <w:r>
              <w:lastRenderedPageBreak/>
              <w:t>RII 2019 (porovnání s EU 2011)</w:t>
            </w:r>
          </w:p>
        </w:tc>
        <w:tc>
          <w:tcPr>
            <w:tcW w:w="836" w:type="dxa"/>
          </w:tcPr>
          <w:p w14:paraId="23FFCC2B" w14:textId="7A95103C" w:rsidR="00376EAC" w:rsidRDefault="00376EAC" w:rsidP="00376EAC">
            <w:r w:rsidRPr="000629E8">
              <w:t>--</w:t>
            </w:r>
          </w:p>
        </w:tc>
        <w:tc>
          <w:tcPr>
            <w:tcW w:w="1566" w:type="dxa"/>
          </w:tcPr>
          <w:p w14:paraId="27484E83" w14:textId="439CBD37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1BF8B69B" w14:textId="6F13C4B7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2F8228EF" w14:textId="646E833C" w:rsidR="00376EAC" w:rsidRDefault="00376EAC" w:rsidP="00376EAC">
            <w:r w:rsidRPr="000629E8">
              <w:t>60,1</w:t>
            </w:r>
          </w:p>
        </w:tc>
      </w:tr>
      <w:tr w:rsidR="00376EAC" w14:paraId="0C4E5B79" w14:textId="77777777" w:rsidTr="00F107BD">
        <w:tc>
          <w:tcPr>
            <w:tcW w:w="3307" w:type="dxa"/>
          </w:tcPr>
          <w:p w14:paraId="6E991A28" w14:textId="4CCD4654" w:rsidR="00376EAC" w:rsidRDefault="00F107BD" w:rsidP="00376EAC">
            <w:r>
              <w:t>Regionální inovační index 2011</w:t>
            </w:r>
          </w:p>
        </w:tc>
        <w:tc>
          <w:tcPr>
            <w:tcW w:w="836" w:type="dxa"/>
          </w:tcPr>
          <w:p w14:paraId="028D5D68" w14:textId="7EAD7E38" w:rsidR="00376EAC" w:rsidRDefault="00376EAC" w:rsidP="00376EAC">
            <w:r w:rsidRPr="000629E8">
              <w:t>--</w:t>
            </w:r>
          </w:p>
        </w:tc>
        <w:tc>
          <w:tcPr>
            <w:tcW w:w="1566" w:type="dxa"/>
          </w:tcPr>
          <w:p w14:paraId="04450F6A" w14:textId="60D019FC" w:rsidR="00376EAC" w:rsidRDefault="00376EAC" w:rsidP="00376EAC">
            <w:r w:rsidRPr="000629E8">
              <w:t>0,283</w:t>
            </w:r>
          </w:p>
        </w:tc>
        <w:tc>
          <w:tcPr>
            <w:tcW w:w="1681" w:type="dxa"/>
          </w:tcPr>
          <w:p w14:paraId="686D0490" w14:textId="2A81CB44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3954FBD8" w14:textId="505FA6B3" w:rsidR="00376EAC" w:rsidRDefault="00376EAC" w:rsidP="00376EAC">
            <w:r w:rsidRPr="000629E8">
              <w:t>--</w:t>
            </w:r>
          </w:p>
        </w:tc>
      </w:tr>
      <w:tr w:rsidR="00376EAC" w14:paraId="19348A57" w14:textId="77777777" w:rsidTr="00F107BD">
        <w:tc>
          <w:tcPr>
            <w:tcW w:w="3307" w:type="dxa"/>
          </w:tcPr>
          <w:p w14:paraId="3517E7CE" w14:textId="1587CCEC" w:rsidR="00376EAC" w:rsidRDefault="00F107BD" w:rsidP="00376EAC">
            <w:r>
              <w:t>RII 2011</w:t>
            </w:r>
          </w:p>
        </w:tc>
        <w:tc>
          <w:tcPr>
            <w:tcW w:w="836" w:type="dxa"/>
          </w:tcPr>
          <w:p w14:paraId="7124A22C" w14:textId="008B074F" w:rsidR="00376EAC" w:rsidRDefault="00376EAC" w:rsidP="00376EAC">
            <w:r w:rsidRPr="000629E8">
              <w:t>--</w:t>
            </w:r>
          </w:p>
        </w:tc>
        <w:tc>
          <w:tcPr>
            <w:tcW w:w="1566" w:type="dxa"/>
          </w:tcPr>
          <w:p w14:paraId="256E781C" w14:textId="70A412D9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1A02830C" w14:textId="61741507" w:rsidR="00376EAC" w:rsidRDefault="00376EAC" w:rsidP="00376EAC">
            <w:r w:rsidRPr="000629E8">
              <w:t>71,1</w:t>
            </w:r>
          </w:p>
        </w:tc>
        <w:tc>
          <w:tcPr>
            <w:tcW w:w="1681" w:type="dxa"/>
          </w:tcPr>
          <w:p w14:paraId="6D6A11AA" w14:textId="3D579F36" w:rsidR="00376EAC" w:rsidRDefault="00376EAC" w:rsidP="00376EAC">
            <w:r w:rsidRPr="000629E8">
              <w:t>61,0</w:t>
            </w:r>
          </w:p>
        </w:tc>
      </w:tr>
      <w:tr w:rsidR="00376EAC" w14:paraId="4EDCBE3F" w14:textId="77777777" w:rsidTr="00F107BD">
        <w:tc>
          <w:tcPr>
            <w:tcW w:w="3307" w:type="dxa"/>
          </w:tcPr>
          <w:p w14:paraId="0FABEE85" w14:textId="4D180812" w:rsidR="00376EAC" w:rsidRDefault="00F107BD" w:rsidP="00376EAC">
            <w:r>
              <w:t>RII – změna mezi 2011 a 2019</w:t>
            </w:r>
          </w:p>
        </w:tc>
        <w:tc>
          <w:tcPr>
            <w:tcW w:w="836" w:type="dxa"/>
          </w:tcPr>
          <w:p w14:paraId="51EA1FA9" w14:textId="6583A325" w:rsidR="00376EAC" w:rsidRDefault="00376EAC" w:rsidP="00376EAC">
            <w:r w:rsidRPr="000629E8">
              <w:t>--</w:t>
            </w:r>
          </w:p>
        </w:tc>
        <w:tc>
          <w:tcPr>
            <w:tcW w:w="1566" w:type="dxa"/>
          </w:tcPr>
          <w:p w14:paraId="1DCD6AD7" w14:textId="0616BC0E" w:rsidR="00376EAC" w:rsidRDefault="00376EAC" w:rsidP="00376EAC">
            <w:r w:rsidRPr="000629E8">
              <w:t>-1,0</w:t>
            </w:r>
          </w:p>
        </w:tc>
        <w:tc>
          <w:tcPr>
            <w:tcW w:w="1681" w:type="dxa"/>
          </w:tcPr>
          <w:p w14:paraId="6C8888C7" w14:textId="313910FF" w:rsidR="00376EAC" w:rsidRDefault="00376EAC" w:rsidP="00376EAC">
            <w:r w:rsidRPr="000629E8">
              <w:t>--</w:t>
            </w:r>
          </w:p>
        </w:tc>
        <w:tc>
          <w:tcPr>
            <w:tcW w:w="1681" w:type="dxa"/>
          </w:tcPr>
          <w:p w14:paraId="4CF42FDB" w14:textId="754DCB0B" w:rsidR="00376EAC" w:rsidRDefault="00376EAC" w:rsidP="00376EAC">
            <w:r w:rsidRPr="000629E8">
              <w:t>--</w:t>
            </w:r>
          </w:p>
        </w:tc>
      </w:tr>
    </w:tbl>
    <w:p w14:paraId="1E9C3F9B" w14:textId="77777777" w:rsidR="00A840D8" w:rsidRDefault="00452603" w:rsidP="00A840D8">
      <w:pPr>
        <w:spacing w:after="0"/>
      </w:pPr>
      <w:r>
        <w:t>Zdroj: Regionální inovační index</w:t>
      </w:r>
    </w:p>
    <w:p w14:paraId="2F70CEC4" w14:textId="3664C08B" w:rsidR="00A840D8" w:rsidRDefault="00A840D8" w:rsidP="00A840D8">
      <w:r>
        <w:t xml:space="preserve">Pozn. </w:t>
      </w:r>
      <w:r w:rsidRPr="000629E8">
        <w:t>±</w:t>
      </w:r>
      <w:r>
        <w:t xml:space="preserve"> je uveden v případě kdy by uvedená hodnota umožnila dopočet hodnot z Průzkumu o inovacích porušující pravidlo důvěrnosti </w:t>
      </w:r>
    </w:p>
    <w:p w14:paraId="7EF4B6AA" w14:textId="25CF7CF7" w:rsidR="00225FBB" w:rsidRDefault="00383DE2">
      <w:r>
        <w:t>Následující</w:t>
      </w:r>
      <w:r w:rsidR="00A840D8">
        <w:t xml:space="preserve"> tabulka</w:t>
      </w:r>
      <w:r>
        <w:t xml:space="preserve"> popisuje</w:t>
      </w:r>
      <w:r w:rsidR="00177A70">
        <w:t xml:space="preserve"> inovační výkonnost všech regionů soudržnosti v Česku. </w:t>
      </w:r>
      <w:r>
        <w:t>Mezi silné inovátory se umístila pouze Praha, která téměř dosahuje průměru EU</w:t>
      </w:r>
      <w:r w:rsidR="00AA0F81">
        <w:t xml:space="preserve"> (100 = průměr)</w:t>
      </w:r>
      <w:r>
        <w:t xml:space="preserve">. Mezi mírné inovátory se umístilo zbytek Česka. </w:t>
      </w:r>
      <w:r w:rsidR="008F5AE6">
        <w:t>Op</w:t>
      </w:r>
      <w:r>
        <w:t>roti EU si z Česka vede nejhůře Severozápad (CZ04) s relativní hodnotou 57</w:t>
      </w:r>
      <w:r w:rsidR="008F5AE6">
        <w:t>,4</w:t>
      </w:r>
      <w:r w:rsidR="00AA0F81">
        <w:t xml:space="preserve"> (téměř polovina inovační výkonnosti průměru EU)</w:t>
      </w:r>
      <w:r>
        <w:t xml:space="preserve">. </w:t>
      </w:r>
    </w:p>
    <w:p w14:paraId="42A677E6" w14:textId="3742A192" w:rsidR="00426981" w:rsidRDefault="00426981" w:rsidP="00426981">
      <w:pPr>
        <w:spacing w:after="0"/>
      </w:pPr>
      <w:r>
        <w:t xml:space="preserve">Tabulka X – Porovnání regionů soudržnosti Česka podle inovační výkonnosti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77A70" w14:paraId="34FC19C4" w14:textId="77777777" w:rsidTr="00177A70">
        <w:tc>
          <w:tcPr>
            <w:tcW w:w="2265" w:type="dxa"/>
          </w:tcPr>
          <w:p w14:paraId="3219DB73" w14:textId="241FD81A" w:rsidR="00177A70" w:rsidRDefault="00177A70" w:rsidP="00177A70">
            <w:r>
              <w:t>Kód oblasti</w:t>
            </w:r>
          </w:p>
        </w:tc>
        <w:tc>
          <w:tcPr>
            <w:tcW w:w="2265" w:type="dxa"/>
          </w:tcPr>
          <w:p w14:paraId="2504A152" w14:textId="63066D99" w:rsidR="00177A70" w:rsidRDefault="00177A70" w:rsidP="00177A70">
            <w:r>
              <w:t>Oblast</w:t>
            </w:r>
          </w:p>
        </w:tc>
        <w:tc>
          <w:tcPr>
            <w:tcW w:w="2266" w:type="dxa"/>
          </w:tcPr>
          <w:p w14:paraId="3DAD98C3" w14:textId="05EF890B" w:rsidR="00177A70" w:rsidRDefault="00177A70" w:rsidP="00177A70">
            <w:r>
              <w:t>Oproti EU</w:t>
            </w:r>
            <w:r w:rsidRPr="00EB0BD7">
              <w:t xml:space="preserve"> 2019</w:t>
            </w:r>
          </w:p>
        </w:tc>
        <w:tc>
          <w:tcPr>
            <w:tcW w:w="2266" w:type="dxa"/>
          </w:tcPr>
          <w:p w14:paraId="47CA3FBD" w14:textId="6A968356" w:rsidR="00177A70" w:rsidRDefault="00177A70" w:rsidP="00177A70">
            <w:r>
              <w:t>Inovační výkonost</w:t>
            </w:r>
          </w:p>
        </w:tc>
      </w:tr>
      <w:tr w:rsidR="008F5AE6" w14:paraId="4DD21CB0" w14:textId="77777777" w:rsidTr="00177A70">
        <w:tc>
          <w:tcPr>
            <w:tcW w:w="2265" w:type="dxa"/>
          </w:tcPr>
          <w:p w14:paraId="46754174" w14:textId="352A3851" w:rsidR="008F5AE6" w:rsidRDefault="008F5AE6" w:rsidP="008F5AE6">
            <w:r w:rsidRPr="00EB0BD7">
              <w:t>CZ01</w:t>
            </w:r>
          </w:p>
        </w:tc>
        <w:tc>
          <w:tcPr>
            <w:tcW w:w="2265" w:type="dxa"/>
          </w:tcPr>
          <w:p w14:paraId="1B5CE366" w14:textId="2FBF47B4" w:rsidR="008F5AE6" w:rsidRDefault="008F5AE6" w:rsidP="008F5AE6">
            <w:r w:rsidRPr="00EB0BD7">
              <w:t>Praha</w:t>
            </w:r>
          </w:p>
        </w:tc>
        <w:tc>
          <w:tcPr>
            <w:tcW w:w="2266" w:type="dxa"/>
          </w:tcPr>
          <w:p w14:paraId="558C74E1" w14:textId="2711386F" w:rsidR="008F5AE6" w:rsidRDefault="008F5AE6" w:rsidP="008F5AE6">
            <w:pPr>
              <w:jc w:val="right"/>
            </w:pPr>
            <w:r w:rsidRPr="00060389">
              <w:t>98,9</w:t>
            </w:r>
          </w:p>
        </w:tc>
        <w:tc>
          <w:tcPr>
            <w:tcW w:w="2266" w:type="dxa"/>
          </w:tcPr>
          <w:p w14:paraId="086CB7C1" w14:textId="5D618BC1" w:rsidR="008F5AE6" w:rsidRDefault="008F5AE6" w:rsidP="008F5AE6">
            <w:r>
              <w:t>Silní inovátoři</w:t>
            </w:r>
            <w:r w:rsidRPr="00EB0BD7">
              <w:t xml:space="preserve"> -</w:t>
            </w:r>
          </w:p>
        </w:tc>
      </w:tr>
      <w:tr w:rsidR="008F5AE6" w14:paraId="0936C82E" w14:textId="77777777" w:rsidTr="00177A70">
        <w:tc>
          <w:tcPr>
            <w:tcW w:w="2265" w:type="dxa"/>
          </w:tcPr>
          <w:p w14:paraId="10A360E9" w14:textId="619E513A" w:rsidR="008F5AE6" w:rsidRDefault="008F5AE6" w:rsidP="008F5AE6">
            <w:r w:rsidRPr="00EB0BD7">
              <w:t>CZ05</w:t>
            </w:r>
          </w:p>
        </w:tc>
        <w:tc>
          <w:tcPr>
            <w:tcW w:w="2265" w:type="dxa"/>
          </w:tcPr>
          <w:p w14:paraId="66C97D5E" w14:textId="119F016E" w:rsidR="008F5AE6" w:rsidRDefault="008F5AE6" w:rsidP="008F5AE6">
            <w:r w:rsidRPr="00EB0BD7">
              <w:t>Severovýchod</w:t>
            </w:r>
          </w:p>
        </w:tc>
        <w:tc>
          <w:tcPr>
            <w:tcW w:w="2266" w:type="dxa"/>
          </w:tcPr>
          <w:p w14:paraId="5ADB7E3A" w14:textId="7DD21AA9" w:rsidR="008F5AE6" w:rsidRDefault="008F5AE6" w:rsidP="008F5AE6">
            <w:pPr>
              <w:jc w:val="right"/>
            </w:pPr>
            <w:r w:rsidRPr="00060389">
              <w:t>84,7</w:t>
            </w:r>
          </w:p>
        </w:tc>
        <w:tc>
          <w:tcPr>
            <w:tcW w:w="2266" w:type="dxa"/>
          </w:tcPr>
          <w:p w14:paraId="3186534F" w14:textId="7BE74AE6" w:rsidR="008F5AE6" w:rsidRDefault="008F5AE6" w:rsidP="008F5AE6">
            <w:r>
              <w:t>Mírní inovátoři +</w:t>
            </w:r>
            <w:r w:rsidRPr="00EB0BD7">
              <w:t xml:space="preserve"> </w:t>
            </w:r>
          </w:p>
        </w:tc>
      </w:tr>
      <w:tr w:rsidR="008F5AE6" w14:paraId="3B5343F1" w14:textId="77777777" w:rsidTr="00177A70">
        <w:tc>
          <w:tcPr>
            <w:tcW w:w="2265" w:type="dxa"/>
          </w:tcPr>
          <w:p w14:paraId="15AA5552" w14:textId="43DCE4E7" w:rsidR="008F5AE6" w:rsidRDefault="008F5AE6" w:rsidP="008F5AE6">
            <w:r w:rsidRPr="00EB0BD7">
              <w:t>CZ06</w:t>
            </w:r>
          </w:p>
        </w:tc>
        <w:tc>
          <w:tcPr>
            <w:tcW w:w="2265" w:type="dxa"/>
          </w:tcPr>
          <w:p w14:paraId="4297DEA4" w14:textId="0C464AC9" w:rsidR="008F5AE6" w:rsidRDefault="008F5AE6" w:rsidP="008F5AE6">
            <w:r w:rsidRPr="00EB0BD7">
              <w:t>Jihovýchod</w:t>
            </w:r>
          </w:p>
        </w:tc>
        <w:tc>
          <w:tcPr>
            <w:tcW w:w="2266" w:type="dxa"/>
          </w:tcPr>
          <w:p w14:paraId="574507BA" w14:textId="77A3D837" w:rsidR="008F5AE6" w:rsidRDefault="008F5AE6" w:rsidP="008F5AE6">
            <w:pPr>
              <w:jc w:val="right"/>
            </w:pPr>
            <w:r w:rsidRPr="00060389">
              <w:t>81,2</w:t>
            </w:r>
          </w:p>
        </w:tc>
        <w:tc>
          <w:tcPr>
            <w:tcW w:w="2266" w:type="dxa"/>
          </w:tcPr>
          <w:p w14:paraId="0E4655B9" w14:textId="164D6AE1" w:rsidR="008F5AE6" w:rsidRDefault="008F5AE6" w:rsidP="008F5AE6">
            <w:r w:rsidRPr="00F17C78">
              <w:t xml:space="preserve">Mírní inovátoři + </w:t>
            </w:r>
          </w:p>
        </w:tc>
      </w:tr>
      <w:tr w:rsidR="008F5AE6" w14:paraId="6E8B6A2D" w14:textId="77777777" w:rsidTr="00177A70">
        <w:tc>
          <w:tcPr>
            <w:tcW w:w="2265" w:type="dxa"/>
          </w:tcPr>
          <w:p w14:paraId="04625510" w14:textId="5CC233C0" w:rsidR="008F5AE6" w:rsidRDefault="008F5AE6" w:rsidP="008F5AE6">
            <w:r w:rsidRPr="00EB0BD7">
              <w:t>CZ03</w:t>
            </w:r>
          </w:p>
        </w:tc>
        <w:tc>
          <w:tcPr>
            <w:tcW w:w="2265" w:type="dxa"/>
          </w:tcPr>
          <w:p w14:paraId="4B65F87D" w14:textId="21484649" w:rsidR="008F5AE6" w:rsidRDefault="008F5AE6" w:rsidP="008F5AE6">
            <w:r w:rsidRPr="00EB0BD7">
              <w:t>Jihozápad</w:t>
            </w:r>
          </w:p>
        </w:tc>
        <w:tc>
          <w:tcPr>
            <w:tcW w:w="2266" w:type="dxa"/>
          </w:tcPr>
          <w:p w14:paraId="21FABDA9" w14:textId="28A017AD" w:rsidR="008F5AE6" w:rsidRDefault="008F5AE6" w:rsidP="008F5AE6">
            <w:pPr>
              <w:jc w:val="right"/>
            </w:pPr>
            <w:r w:rsidRPr="00060389">
              <w:t>78,7</w:t>
            </w:r>
          </w:p>
        </w:tc>
        <w:tc>
          <w:tcPr>
            <w:tcW w:w="2266" w:type="dxa"/>
          </w:tcPr>
          <w:p w14:paraId="2B4AC59A" w14:textId="1F42C421" w:rsidR="008F5AE6" w:rsidRDefault="008F5AE6" w:rsidP="008F5AE6">
            <w:r w:rsidRPr="00F17C78">
              <w:t xml:space="preserve">Mírní inovátoři + </w:t>
            </w:r>
          </w:p>
        </w:tc>
      </w:tr>
      <w:tr w:rsidR="008F5AE6" w14:paraId="06F2CBEA" w14:textId="77777777" w:rsidTr="00177A70">
        <w:tc>
          <w:tcPr>
            <w:tcW w:w="2265" w:type="dxa"/>
          </w:tcPr>
          <w:p w14:paraId="75753A41" w14:textId="30497A52" w:rsidR="008F5AE6" w:rsidRDefault="008F5AE6" w:rsidP="008F5AE6">
            <w:r w:rsidRPr="00EB0BD7">
              <w:t>CZ07</w:t>
            </w:r>
          </w:p>
        </w:tc>
        <w:tc>
          <w:tcPr>
            <w:tcW w:w="2265" w:type="dxa"/>
          </w:tcPr>
          <w:p w14:paraId="2D48BDD6" w14:textId="7EA3A648" w:rsidR="008F5AE6" w:rsidRDefault="008F5AE6" w:rsidP="008F5AE6">
            <w:r w:rsidRPr="00EB0BD7">
              <w:t>Střední Morava</w:t>
            </w:r>
          </w:p>
        </w:tc>
        <w:tc>
          <w:tcPr>
            <w:tcW w:w="2266" w:type="dxa"/>
          </w:tcPr>
          <w:p w14:paraId="5AA775B6" w14:textId="75A238E5" w:rsidR="008F5AE6" w:rsidRDefault="008F5AE6" w:rsidP="008F5AE6">
            <w:pPr>
              <w:jc w:val="right"/>
            </w:pPr>
            <w:r w:rsidRPr="00060389">
              <w:t>76,5</w:t>
            </w:r>
          </w:p>
        </w:tc>
        <w:tc>
          <w:tcPr>
            <w:tcW w:w="2266" w:type="dxa"/>
          </w:tcPr>
          <w:p w14:paraId="655B9F15" w14:textId="725D619D" w:rsidR="008F5AE6" w:rsidRDefault="008F5AE6" w:rsidP="008F5AE6">
            <w:r w:rsidRPr="00177A70">
              <w:t>Mírní inovátoři +</w:t>
            </w:r>
          </w:p>
        </w:tc>
      </w:tr>
      <w:tr w:rsidR="008F5AE6" w14:paraId="143A970B" w14:textId="77777777" w:rsidTr="00177A70">
        <w:tc>
          <w:tcPr>
            <w:tcW w:w="2265" w:type="dxa"/>
          </w:tcPr>
          <w:p w14:paraId="4869C5E7" w14:textId="5A2AAB44" w:rsidR="008F5AE6" w:rsidRDefault="008F5AE6" w:rsidP="008F5AE6">
            <w:r w:rsidRPr="00EB0BD7">
              <w:t>CZ02</w:t>
            </w:r>
          </w:p>
        </w:tc>
        <w:tc>
          <w:tcPr>
            <w:tcW w:w="2265" w:type="dxa"/>
          </w:tcPr>
          <w:p w14:paraId="1CDA1A5E" w14:textId="773F6A01" w:rsidR="008F5AE6" w:rsidRDefault="008F5AE6" w:rsidP="008F5AE6">
            <w:r w:rsidRPr="00EB0BD7">
              <w:t xml:space="preserve">Střední </w:t>
            </w:r>
            <w:r>
              <w:t>Č</w:t>
            </w:r>
            <w:r w:rsidRPr="00EB0BD7">
              <w:t>echy</w:t>
            </w:r>
          </w:p>
        </w:tc>
        <w:tc>
          <w:tcPr>
            <w:tcW w:w="2266" w:type="dxa"/>
          </w:tcPr>
          <w:p w14:paraId="76324DC1" w14:textId="69B1F1E1" w:rsidR="008F5AE6" w:rsidRDefault="008F5AE6" w:rsidP="008F5AE6">
            <w:pPr>
              <w:jc w:val="right"/>
            </w:pPr>
            <w:r w:rsidRPr="00060389">
              <w:t>75,9</w:t>
            </w:r>
          </w:p>
        </w:tc>
        <w:tc>
          <w:tcPr>
            <w:tcW w:w="2266" w:type="dxa"/>
          </w:tcPr>
          <w:p w14:paraId="02DDDB81" w14:textId="77E8807D" w:rsidR="008F5AE6" w:rsidRDefault="008F5AE6" w:rsidP="008F5AE6">
            <w:r w:rsidRPr="007A1089">
              <w:t xml:space="preserve">Mírní inovátoři </w:t>
            </w:r>
          </w:p>
        </w:tc>
      </w:tr>
      <w:tr w:rsidR="008F5AE6" w14:paraId="65CB172B" w14:textId="77777777" w:rsidTr="00177A70">
        <w:tc>
          <w:tcPr>
            <w:tcW w:w="2265" w:type="dxa"/>
          </w:tcPr>
          <w:p w14:paraId="26C136CC" w14:textId="18754962" w:rsidR="008F5AE6" w:rsidRDefault="008F5AE6" w:rsidP="008F5AE6">
            <w:r w:rsidRPr="00EB0BD7">
              <w:t>CZ08</w:t>
            </w:r>
          </w:p>
        </w:tc>
        <w:tc>
          <w:tcPr>
            <w:tcW w:w="2265" w:type="dxa"/>
          </w:tcPr>
          <w:p w14:paraId="5D600A9F" w14:textId="668CED18" w:rsidR="008F5AE6" w:rsidRDefault="008F5AE6" w:rsidP="008F5AE6">
            <w:proofErr w:type="spellStart"/>
            <w:r w:rsidRPr="00EB0BD7">
              <w:t>Moravskoslezsko</w:t>
            </w:r>
            <w:proofErr w:type="spellEnd"/>
          </w:p>
        </w:tc>
        <w:tc>
          <w:tcPr>
            <w:tcW w:w="2266" w:type="dxa"/>
          </w:tcPr>
          <w:p w14:paraId="48845FC9" w14:textId="150DA231" w:rsidR="008F5AE6" w:rsidRDefault="008F5AE6" w:rsidP="008F5AE6">
            <w:pPr>
              <w:jc w:val="right"/>
            </w:pPr>
            <w:r w:rsidRPr="00060389">
              <w:t>75,2</w:t>
            </w:r>
          </w:p>
        </w:tc>
        <w:tc>
          <w:tcPr>
            <w:tcW w:w="2266" w:type="dxa"/>
          </w:tcPr>
          <w:p w14:paraId="195B7CAF" w14:textId="7529A26C" w:rsidR="008F5AE6" w:rsidRDefault="008F5AE6" w:rsidP="008F5AE6">
            <w:r w:rsidRPr="007A1089">
              <w:t xml:space="preserve">Mírní inovátoři </w:t>
            </w:r>
          </w:p>
        </w:tc>
      </w:tr>
      <w:tr w:rsidR="008F5AE6" w14:paraId="5ACF0C4F" w14:textId="77777777" w:rsidTr="00177A70">
        <w:tc>
          <w:tcPr>
            <w:tcW w:w="2265" w:type="dxa"/>
          </w:tcPr>
          <w:p w14:paraId="2B8576F9" w14:textId="01B26195" w:rsidR="008F5AE6" w:rsidRDefault="008F5AE6" w:rsidP="008F5AE6">
            <w:r w:rsidRPr="00EB0BD7">
              <w:t>CZ04</w:t>
            </w:r>
          </w:p>
        </w:tc>
        <w:tc>
          <w:tcPr>
            <w:tcW w:w="2265" w:type="dxa"/>
          </w:tcPr>
          <w:p w14:paraId="3A31F351" w14:textId="335630C0" w:rsidR="008F5AE6" w:rsidRDefault="008F5AE6" w:rsidP="008F5AE6">
            <w:r w:rsidRPr="00EB0BD7">
              <w:t>Severozápad</w:t>
            </w:r>
          </w:p>
        </w:tc>
        <w:tc>
          <w:tcPr>
            <w:tcW w:w="2266" w:type="dxa"/>
          </w:tcPr>
          <w:p w14:paraId="2950417F" w14:textId="620D5DED" w:rsidR="008F5AE6" w:rsidRDefault="008F5AE6" w:rsidP="008F5AE6">
            <w:pPr>
              <w:jc w:val="right"/>
            </w:pPr>
            <w:r w:rsidRPr="00060389">
              <w:t>57,4</w:t>
            </w:r>
          </w:p>
        </w:tc>
        <w:tc>
          <w:tcPr>
            <w:tcW w:w="2266" w:type="dxa"/>
          </w:tcPr>
          <w:p w14:paraId="06ED5B2A" w14:textId="70A4970C" w:rsidR="008F5AE6" w:rsidRDefault="008F5AE6" w:rsidP="008F5AE6">
            <w:r w:rsidRPr="00177A70">
              <w:t>Mírní inovátoři</w:t>
            </w:r>
            <w:r>
              <w:t xml:space="preserve"> -</w:t>
            </w:r>
          </w:p>
        </w:tc>
      </w:tr>
    </w:tbl>
    <w:p w14:paraId="0617FBDD" w14:textId="017AFAAC" w:rsidR="00177A70" w:rsidRDefault="00426981">
      <w:r>
        <w:t xml:space="preserve">Zdroj: Regionální inovační index, </w:t>
      </w:r>
      <w:r w:rsidRPr="00426981">
        <w:t>zpracování AQE advisors a.s.</w:t>
      </w:r>
    </w:p>
    <w:p w14:paraId="6B197A06" w14:textId="1D23E40C" w:rsidR="00DD46FF" w:rsidRDefault="00452603" w:rsidP="00A84EC5">
      <w:pPr>
        <w:jc w:val="both"/>
      </w:pPr>
      <w:r>
        <w:t xml:space="preserve">Následující obrázek obsahuje kartogram </w:t>
      </w:r>
      <w:r w:rsidR="00030ACE">
        <w:t xml:space="preserve">skupin výkonnosti </w:t>
      </w:r>
      <w:r>
        <w:t xml:space="preserve">Regionálního inovačního indexu. Z obrázku je patrná </w:t>
      </w:r>
      <w:r w:rsidR="00030ACE">
        <w:t>oblast</w:t>
      </w:r>
      <w:r>
        <w:t xml:space="preserve"> tvořená regionem soudržnosti Severozápad, jde o jediného mírného inovátora s mínusem v sousedství.</w:t>
      </w:r>
    </w:p>
    <w:p w14:paraId="58C0AEAD" w14:textId="2AA18414" w:rsidR="00DD46FF" w:rsidRDefault="00DD46FF" w:rsidP="00DD46FF">
      <w:pPr>
        <w:spacing w:after="0"/>
      </w:pPr>
      <w:r>
        <w:t>Obrázek/Graf X – Skupiny výkonnosti regionálního inovačního indexu</w:t>
      </w:r>
    </w:p>
    <w:p w14:paraId="1CB20B61" w14:textId="04F06CF1" w:rsidR="003253F7" w:rsidRDefault="00383DE2">
      <w:r>
        <w:rPr>
          <w:noProof/>
        </w:rPr>
        <w:lastRenderedPageBreak/>
        <w:drawing>
          <wp:inline distT="0" distB="0" distL="0" distR="0" wp14:anchorId="67CCE1A9" wp14:editId="69DF8254">
            <wp:extent cx="5760720" cy="5066665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pa3_RIS_2019_ramece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6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46FF">
        <w:t xml:space="preserve">Zdroj: </w:t>
      </w:r>
      <w:r w:rsidR="00DD46FF" w:rsidRPr="00DD46FF">
        <w:t>Regionální inovační index, zpracování AQE advisors a.s.</w:t>
      </w:r>
    </w:p>
    <w:p w14:paraId="168FFF18" w14:textId="2F07F3E9" w:rsidR="00044411" w:rsidRDefault="00A84EC5">
      <w:r>
        <w:t xml:space="preserve">Následující graf porovnává region soudržnosti Severozápad (CZ04) a </w:t>
      </w:r>
      <w:proofErr w:type="spellStart"/>
      <w:r>
        <w:t>Moravskoslezko</w:t>
      </w:r>
      <w:proofErr w:type="spellEnd"/>
      <w:r>
        <w:t xml:space="preserve"> (CZ08). </w:t>
      </w:r>
      <w:proofErr w:type="spellStart"/>
      <w:r>
        <w:t>Moravskoslezsko</w:t>
      </w:r>
      <w:proofErr w:type="spellEnd"/>
      <w:r>
        <w:t xml:space="preserve"> se umisťuje lépe v 12 ze 17 indikátorů. Nejvýznamnější náskok je patrný v indikátorech: Počet</w:t>
      </w:r>
      <w:r w:rsidRPr="00A84EC5">
        <w:t xml:space="preserve"> přihlášek pro technický vzor</w:t>
      </w:r>
      <w:r>
        <w:t xml:space="preserve"> (lepší o 0,37), </w:t>
      </w:r>
      <w:r w:rsidRPr="00A84EC5">
        <w:t>Výdaje na výzkum a vývoj ve veřejném sektoru</w:t>
      </w:r>
      <w:r>
        <w:t xml:space="preserve"> (0,24), vysokoškolsky vzdělaní (0,23), </w:t>
      </w:r>
      <w:r w:rsidRPr="00A84EC5">
        <w:t>Výdaje na výzkum a vývoj v soukromém sektoru</w:t>
      </w:r>
      <w:r>
        <w:t xml:space="preserve"> (0,23) a počet zaměstnanců v</w:t>
      </w:r>
      <w:r w:rsidRPr="00A84EC5">
        <w:t xml:space="preserve"> odvětví s vysokou technologickou náročností a znalostně intenzivních průmyslech</w:t>
      </w:r>
      <w:r>
        <w:t xml:space="preserve"> (0,21). Severozápad je naopak lepší v nejlépe citovaných odborných publikacích (lepší o 0,18) a </w:t>
      </w:r>
      <w:r w:rsidRPr="00A84EC5">
        <w:t>Výdaje na inovace (bez výzkumu</w:t>
      </w:r>
      <w:r>
        <w:t>, 0,14).</w:t>
      </w:r>
    </w:p>
    <w:p w14:paraId="5F24F48E" w14:textId="77777777" w:rsidR="00044411" w:rsidRDefault="00044411">
      <w:r>
        <w:br w:type="page"/>
      </w:r>
    </w:p>
    <w:p w14:paraId="72332464" w14:textId="53C9814A" w:rsidR="00A84EC5" w:rsidRDefault="00044411" w:rsidP="00044411">
      <w:pPr>
        <w:spacing w:after="0"/>
      </w:pPr>
      <w:r>
        <w:lastRenderedPageBreak/>
        <w:t>Obrázek/Graf X – Rozdílná výkonnost vybraných regionů soudržnosti v indikátorech Regionálního inovačního indexu</w:t>
      </w:r>
    </w:p>
    <w:p w14:paraId="6B52B914" w14:textId="4095CA1D" w:rsidR="00BD0EF9" w:rsidRDefault="00F107BD">
      <w:r>
        <w:rPr>
          <w:noProof/>
        </w:rPr>
        <w:drawing>
          <wp:inline distT="0" distB="0" distL="0" distR="0" wp14:anchorId="5ED70A67" wp14:editId="3FD4D8BA">
            <wp:extent cx="5907405" cy="5105841"/>
            <wp:effectExtent l="0" t="0" r="17145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BD0EF9">
        <w:t xml:space="preserve">Zdroj: </w:t>
      </w:r>
      <w:r w:rsidR="00044411">
        <w:t>Normalizované skóre indikátorů Regionálního inovačního indexu</w:t>
      </w:r>
    </w:p>
    <w:p w14:paraId="4D77A442" w14:textId="01E55D22" w:rsidR="0050776C" w:rsidRDefault="0050776C"/>
    <w:p w14:paraId="57329D11" w14:textId="6DEE6AEE" w:rsidR="0050776C" w:rsidRDefault="0050776C">
      <w:r>
        <w:t>Citace:</w:t>
      </w:r>
    </w:p>
    <w:p w14:paraId="6E891BE0" w14:textId="1023B4DF" w:rsidR="0050776C" w:rsidRDefault="0050776C">
      <w:proofErr w:type="spellStart"/>
      <w:r w:rsidRPr="0050776C">
        <w:t>European</w:t>
      </w:r>
      <w:proofErr w:type="spellEnd"/>
      <w:r w:rsidRPr="0050776C">
        <w:t xml:space="preserve"> </w:t>
      </w:r>
      <w:proofErr w:type="spellStart"/>
      <w:r w:rsidRPr="0050776C">
        <w:t>innovation</w:t>
      </w:r>
      <w:proofErr w:type="spellEnd"/>
      <w:r w:rsidRPr="0050776C">
        <w:t xml:space="preserve"> </w:t>
      </w:r>
      <w:proofErr w:type="spellStart"/>
      <w:r w:rsidRPr="0050776C">
        <w:t>scoreboard</w:t>
      </w:r>
      <w:proofErr w:type="spellEnd"/>
      <w:r w:rsidRPr="0050776C">
        <w:t xml:space="preserve">. Ec.europa.eu [online]. Brusel, 2019 [cit. 2021-04-16]. Dostupné z: </w:t>
      </w:r>
      <w:hyperlink r:id="rId9" w:history="1">
        <w:r w:rsidRPr="007010C4">
          <w:rPr>
            <w:rStyle w:val="Hypertextovodkaz"/>
          </w:rPr>
          <w:t>https://ec.europa.eu/growth/industry/policy/innovation/scoreboards_en</w:t>
        </w:r>
      </w:hyperlink>
    </w:p>
    <w:p w14:paraId="634D047D" w14:textId="10AD34A9" w:rsidR="0050776C" w:rsidRDefault="00A2726D">
      <w:r w:rsidRPr="00A2726D">
        <w:t xml:space="preserve">HOLLANDERS, Hugo, </w:t>
      </w:r>
      <w:proofErr w:type="spellStart"/>
      <w:r w:rsidRPr="00A2726D">
        <w:t>Nordine</w:t>
      </w:r>
      <w:proofErr w:type="spellEnd"/>
      <w:r w:rsidRPr="00A2726D">
        <w:t xml:space="preserve"> ES-SADKI a Iris MERKELBACH. </w:t>
      </w:r>
      <w:proofErr w:type="spellStart"/>
      <w:r w:rsidRPr="00A2726D">
        <w:t>Regional</w:t>
      </w:r>
      <w:proofErr w:type="spellEnd"/>
      <w:r w:rsidRPr="00A2726D">
        <w:t xml:space="preserve"> </w:t>
      </w:r>
      <w:proofErr w:type="spellStart"/>
      <w:r w:rsidRPr="00A2726D">
        <w:t>Innovation</w:t>
      </w:r>
      <w:proofErr w:type="spellEnd"/>
      <w:r w:rsidRPr="00A2726D">
        <w:t xml:space="preserve"> </w:t>
      </w:r>
      <w:proofErr w:type="spellStart"/>
      <w:r w:rsidRPr="00A2726D">
        <w:t>Scoreboard</w:t>
      </w:r>
      <w:proofErr w:type="spellEnd"/>
      <w:r w:rsidRPr="00A2726D">
        <w:t xml:space="preserve"> 2019. Lucembursko: </w:t>
      </w:r>
      <w:proofErr w:type="spellStart"/>
      <w:r w:rsidRPr="00A2726D">
        <w:t>Publications</w:t>
      </w:r>
      <w:proofErr w:type="spellEnd"/>
      <w:r w:rsidRPr="00A2726D">
        <w:t xml:space="preserve"> Office </w:t>
      </w:r>
      <w:proofErr w:type="spellStart"/>
      <w:r w:rsidRPr="00A2726D">
        <w:t>of</w:t>
      </w:r>
      <w:proofErr w:type="spellEnd"/>
      <w:r w:rsidRPr="00A2726D">
        <w:t xml:space="preserve"> </w:t>
      </w:r>
      <w:proofErr w:type="spellStart"/>
      <w:r w:rsidRPr="00A2726D">
        <w:t>the</w:t>
      </w:r>
      <w:proofErr w:type="spellEnd"/>
      <w:r w:rsidRPr="00A2726D">
        <w:t xml:space="preserve"> </w:t>
      </w:r>
      <w:proofErr w:type="spellStart"/>
      <w:r w:rsidRPr="00A2726D">
        <w:t>European</w:t>
      </w:r>
      <w:proofErr w:type="spellEnd"/>
      <w:r w:rsidRPr="00A2726D">
        <w:t xml:space="preserve"> Union, 2019. ISBN 978-92-76-08724-3. ISSN 2315-2117.</w:t>
      </w:r>
      <w:r>
        <w:t xml:space="preserve"> </w:t>
      </w:r>
      <w:r w:rsidRPr="0050776C">
        <w:t>[cit. 2021-04-16]. Dostupné z:</w:t>
      </w:r>
      <w:r>
        <w:t xml:space="preserve"> </w:t>
      </w:r>
      <w:hyperlink r:id="rId10" w:history="1">
        <w:r w:rsidR="00B62406" w:rsidRPr="00ED3747">
          <w:rPr>
            <w:rStyle w:val="Hypertextovodkaz"/>
          </w:rPr>
          <w:t>https://ec.europa.eu/growth/industry/policy/innovation/regional_en</w:t>
        </w:r>
      </w:hyperlink>
    </w:p>
    <w:p w14:paraId="7BAED731" w14:textId="5FC9EA45" w:rsidR="00B62406" w:rsidRDefault="00B62406"/>
    <w:p w14:paraId="42F249D7" w14:textId="77777777" w:rsidR="00B62406" w:rsidRDefault="00B62406" w:rsidP="00B62406">
      <w:pPr>
        <w:jc w:val="both"/>
      </w:pPr>
      <w:r>
        <w:t xml:space="preserve">Regionální inovační index pro regiony soudržnosti: </w:t>
      </w:r>
    </w:p>
    <w:p w14:paraId="64078855" w14:textId="77777777" w:rsidR="00B62406" w:rsidRDefault="00B62406" w:rsidP="00B62406">
      <w:pPr>
        <w:jc w:val="both"/>
      </w:pPr>
      <w:hyperlink r:id="rId11" w:history="1">
        <w:r w:rsidRPr="007010C4">
          <w:rPr>
            <w:rStyle w:val="Hypertextovodkaz"/>
          </w:rPr>
          <w:t>https://ec.europa.eu/docsroom/documents/35923</w:t>
        </w:r>
      </w:hyperlink>
    </w:p>
    <w:p w14:paraId="10060CCF" w14:textId="77777777" w:rsidR="00B62406" w:rsidRDefault="00B62406" w:rsidP="00B62406">
      <w:pPr>
        <w:jc w:val="both"/>
      </w:pPr>
      <w:r>
        <w:t xml:space="preserve">Regionální inovační index: </w:t>
      </w:r>
      <w:hyperlink r:id="rId12" w:history="1">
        <w:r w:rsidRPr="007010C4">
          <w:rPr>
            <w:rStyle w:val="Hypertextovodkaz"/>
          </w:rPr>
          <w:t>https://ec.europa.eu/growth/industry/policy/innovation/regional_en</w:t>
        </w:r>
      </w:hyperlink>
    </w:p>
    <w:p w14:paraId="53261234" w14:textId="77777777" w:rsidR="00B62406" w:rsidRDefault="00B62406" w:rsidP="00B62406">
      <w:pPr>
        <w:jc w:val="both"/>
      </w:pPr>
      <w:r>
        <w:lastRenderedPageBreak/>
        <w:t xml:space="preserve">A data: </w:t>
      </w:r>
      <w:hyperlink r:id="rId13" w:history="1">
        <w:r w:rsidRPr="007010C4">
          <w:rPr>
            <w:rStyle w:val="Hypertextovodkaz"/>
          </w:rPr>
          <w:t>https://ec.europa.eu/docsroom/documents/36081</w:t>
        </w:r>
      </w:hyperlink>
    </w:p>
    <w:p w14:paraId="769526C9" w14:textId="77777777" w:rsidR="00B62406" w:rsidRDefault="00B62406" w:rsidP="00B62406">
      <w:pPr>
        <w:jc w:val="both"/>
      </w:pPr>
      <w:r>
        <w:t>Kartogram je vlastní zpracování v </w:t>
      </w:r>
      <w:proofErr w:type="spellStart"/>
      <w:r>
        <w:t>ArcMap</w:t>
      </w:r>
      <w:proofErr w:type="spellEnd"/>
      <w:r>
        <w:t xml:space="preserve"> 10.5 s použitím dat z uvedeného zdroje. Konkrétně je to z tabulky: </w:t>
      </w:r>
      <w:proofErr w:type="spellStart"/>
      <w:r w:rsidRPr="00352A2A">
        <w:t>Regional</w:t>
      </w:r>
      <w:proofErr w:type="spellEnd"/>
      <w:r w:rsidRPr="00352A2A">
        <w:t xml:space="preserve"> </w:t>
      </w:r>
      <w:proofErr w:type="spellStart"/>
      <w:r w:rsidRPr="00352A2A">
        <w:t>Innovation</w:t>
      </w:r>
      <w:proofErr w:type="spellEnd"/>
      <w:r w:rsidRPr="00352A2A">
        <w:t xml:space="preserve"> </w:t>
      </w:r>
      <w:proofErr w:type="spellStart"/>
      <w:r w:rsidRPr="00352A2A">
        <w:t>Scoreboard</w:t>
      </w:r>
      <w:proofErr w:type="spellEnd"/>
      <w:r w:rsidRPr="00352A2A">
        <w:t xml:space="preserve"> 2019 - Performance </w:t>
      </w:r>
      <w:proofErr w:type="spellStart"/>
      <w:r w:rsidRPr="00352A2A">
        <w:t>groups</w:t>
      </w:r>
      <w:proofErr w:type="spellEnd"/>
      <w:r>
        <w:t>, sloupec „</w:t>
      </w:r>
      <w:r w:rsidRPr="00352A2A">
        <w:t xml:space="preserve">Performance </w:t>
      </w:r>
      <w:proofErr w:type="spellStart"/>
      <w:r w:rsidRPr="00352A2A">
        <w:t>group</w:t>
      </w:r>
      <w:proofErr w:type="spellEnd"/>
      <w:r>
        <w:t>“</w:t>
      </w:r>
    </w:p>
    <w:p w14:paraId="52FDDB50" w14:textId="77777777" w:rsidR="00B62406" w:rsidRDefault="00B62406" w:rsidP="00B62406">
      <w:pPr>
        <w:jc w:val="both"/>
      </w:pPr>
      <w:r>
        <w:t>Využité barvy v kartogramu (</w:t>
      </w:r>
      <w:hyperlink r:id="rId14" w:history="1">
        <w:r w:rsidRPr="00030ACE">
          <w:rPr>
            <w:rStyle w:val="Hypertextovodkaz"/>
          </w:rPr>
          <w:t>RGB</w:t>
        </w:r>
      </w:hyperlink>
      <w:r>
        <w:t>) postupně od nejlepší (vynikající inovátoři +) po nejhorší (slabí inovátoři -):</w:t>
      </w:r>
    </w:p>
    <w:p w14:paraId="6FD37449" w14:textId="77777777" w:rsidR="00B62406" w:rsidRDefault="00B62406" w:rsidP="00B62406">
      <w:pPr>
        <w:spacing w:after="0"/>
        <w:jc w:val="both"/>
      </w:pPr>
      <w:r>
        <w:t>227,227,227</w:t>
      </w:r>
    </w:p>
    <w:p w14:paraId="1E2107C3" w14:textId="77777777" w:rsidR="00B62406" w:rsidRDefault="00B62406" w:rsidP="00B62406">
      <w:pPr>
        <w:spacing w:after="0"/>
        <w:jc w:val="both"/>
      </w:pPr>
      <w:r>
        <w:t>206,215,224</w:t>
      </w:r>
    </w:p>
    <w:p w14:paraId="74338566" w14:textId="77777777" w:rsidR="00B62406" w:rsidRDefault="00B62406" w:rsidP="00B62406">
      <w:pPr>
        <w:spacing w:after="0"/>
        <w:jc w:val="both"/>
      </w:pPr>
      <w:r>
        <w:t>186,203,220</w:t>
      </w:r>
    </w:p>
    <w:p w14:paraId="779197C8" w14:textId="77777777" w:rsidR="00B62406" w:rsidRDefault="00B62406" w:rsidP="00B62406">
      <w:pPr>
        <w:spacing w:after="0"/>
        <w:jc w:val="both"/>
      </w:pPr>
      <w:r>
        <w:t>165,190,217</w:t>
      </w:r>
    </w:p>
    <w:p w14:paraId="2778CC11" w14:textId="77777777" w:rsidR="00B62406" w:rsidRDefault="00B62406" w:rsidP="00B62406">
      <w:pPr>
        <w:spacing w:after="0"/>
        <w:jc w:val="both"/>
      </w:pPr>
      <w:r>
        <w:t>144,178,213</w:t>
      </w:r>
    </w:p>
    <w:p w14:paraId="60397E1E" w14:textId="77777777" w:rsidR="00B62406" w:rsidRDefault="00B62406" w:rsidP="00B62406">
      <w:pPr>
        <w:spacing w:after="0"/>
        <w:jc w:val="both"/>
      </w:pPr>
      <w:r>
        <w:t>124,166,210</w:t>
      </w:r>
    </w:p>
    <w:p w14:paraId="18A82BDA" w14:textId="77777777" w:rsidR="00B62406" w:rsidRDefault="00B62406" w:rsidP="00B62406">
      <w:pPr>
        <w:spacing w:after="0"/>
        <w:jc w:val="both"/>
      </w:pPr>
      <w:r>
        <w:t>103,154,206</w:t>
      </w:r>
    </w:p>
    <w:p w14:paraId="06A713B4" w14:textId="77777777" w:rsidR="00B62406" w:rsidRDefault="00B62406" w:rsidP="00B62406">
      <w:pPr>
        <w:spacing w:after="0"/>
        <w:jc w:val="both"/>
      </w:pPr>
      <w:r>
        <w:t>83,142,203</w:t>
      </w:r>
    </w:p>
    <w:p w14:paraId="52AB9B22" w14:textId="77777777" w:rsidR="00B62406" w:rsidRPr="00A84EC5" w:rsidRDefault="00B62406" w:rsidP="00B62406">
      <w:pPr>
        <w:spacing w:after="0"/>
        <w:jc w:val="both"/>
        <w:rPr>
          <w:b/>
        </w:rPr>
      </w:pPr>
      <w:r w:rsidRPr="00A84EC5">
        <w:rPr>
          <w:b/>
        </w:rPr>
        <w:t>0,93,189 = mírní inovátoři -, hodnota KVK a KVK modrá</w:t>
      </w:r>
    </w:p>
    <w:p w14:paraId="1C6B50C7" w14:textId="77777777" w:rsidR="00B62406" w:rsidRDefault="00B62406" w:rsidP="00B62406">
      <w:pPr>
        <w:spacing w:after="0"/>
        <w:jc w:val="both"/>
      </w:pPr>
      <w:r>
        <w:t>0,67,173</w:t>
      </w:r>
    </w:p>
    <w:p w14:paraId="5C06AB92" w14:textId="77777777" w:rsidR="00B62406" w:rsidRDefault="00B62406" w:rsidP="00B62406">
      <w:pPr>
        <w:spacing w:after="0"/>
        <w:jc w:val="both"/>
      </w:pPr>
      <w:r>
        <w:t>0,67,150</w:t>
      </w:r>
    </w:p>
    <w:p w14:paraId="06F0F29C" w14:textId="77777777" w:rsidR="00B62406" w:rsidRDefault="00B62406" w:rsidP="00B62406">
      <w:pPr>
        <w:spacing w:after="0"/>
        <w:jc w:val="both"/>
      </w:pPr>
      <w:r>
        <w:t>0,60,140</w:t>
      </w:r>
    </w:p>
    <w:p w14:paraId="6497F3BB" w14:textId="77777777" w:rsidR="00B62406" w:rsidRDefault="00B62406" w:rsidP="00B62406">
      <w:pPr>
        <w:jc w:val="both"/>
      </w:pPr>
    </w:p>
    <w:p w14:paraId="602D3FB7" w14:textId="77777777" w:rsidR="00B62406" w:rsidRDefault="00B62406"/>
    <w:sectPr w:rsidR="00B62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6B8"/>
    <w:rsid w:val="00030ACE"/>
    <w:rsid w:val="00044411"/>
    <w:rsid w:val="00177A70"/>
    <w:rsid w:val="001B33E3"/>
    <w:rsid w:val="001D0900"/>
    <w:rsid w:val="0021518B"/>
    <w:rsid w:val="00225FBB"/>
    <w:rsid w:val="00313461"/>
    <w:rsid w:val="003253F7"/>
    <w:rsid w:val="00352A2A"/>
    <w:rsid w:val="00376EAC"/>
    <w:rsid w:val="00383DE2"/>
    <w:rsid w:val="00426981"/>
    <w:rsid w:val="00452603"/>
    <w:rsid w:val="004543ED"/>
    <w:rsid w:val="0050776C"/>
    <w:rsid w:val="005F5B0C"/>
    <w:rsid w:val="006178CA"/>
    <w:rsid w:val="007430D7"/>
    <w:rsid w:val="008F5AE6"/>
    <w:rsid w:val="00A2726D"/>
    <w:rsid w:val="00A840D8"/>
    <w:rsid w:val="00A84EC5"/>
    <w:rsid w:val="00AA0F81"/>
    <w:rsid w:val="00B62406"/>
    <w:rsid w:val="00BD0EF9"/>
    <w:rsid w:val="00CB355A"/>
    <w:rsid w:val="00D65EEC"/>
    <w:rsid w:val="00D65EEE"/>
    <w:rsid w:val="00DB1B5B"/>
    <w:rsid w:val="00DD46FF"/>
    <w:rsid w:val="00EB66B8"/>
    <w:rsid w:val="00EE3AD2"/>
    <w:rsid w:val="00F005FD"/>
    <w:rsid w:val="00F1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8B4B"/>
  <w15:chartTrackingRefBased/>
  <w15:docId w15:val="{697BC68D-F224-420B-8E07-E9DA365B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76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5260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52603"/>
    <w:rPr>
      <w:color w:val="605E5C"/>
      <w:shd w:val="clear" w:color="auto" w:fill="E1DFDD"/>
    </w:rPr>
  </w:style>
  <w:style w:type="paragraph" w:styleId="Textkomente">
    <w:name w:val="annotation text"/>
    <w:basedOn w:val="Normln"/>
    <w:link w:val="TextkomenteChar"/>
    <w:uiPriority w:val="99"/>
    <w:unhideWhenUsed/>
    <w:rsid w:val="00B62406"/>
    <w:pPr>
      <w:spacing w:after="120" w:line="240" w:lineRule="auto"/>
    </w:pPr>
    <w:rPr>
      <w:rFonts w:ascii="Calibri Light" w:eastAsiaTheme="minorEastAsia" w:hAnsi="Calibri Light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62406"/>
    <w:rPr>
      <w:rFonts w:ascii="Calibri Light" w:eastAsiaTheme="minorEastAsia" w:hAnsi="Calibri Light"/>
      <w:sz w:val="20"/>
      <w:szCs w:val="20"/>
    </w:rPr>
  </w:style>
  <w:style w:type="paragraph" w:customStyle="1" w:styleId="Documenttitle">
    <w:name w:val="Document title"/>
    <w:next w:val="Normln"/>
    <w:qFormat/>
    <w:rsid w:val="00B62406"/>
    <w:pPr>
      <w:spacing w:after="0" w:line="440" w:lineRule="atLeast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  <w:lang w:val="en-GB"/>
    </w:rPr>
  </w:style>
  <w:style w:type="paragraph" w:customStyle="1" w:styleId="Documentdate">
    <w:name w:val="Document date"/>
    <w:qFormat/>
    <w:rsid w:val="00B62406"/>
    <w:pPr>
      <w:spacing w:after="0" w:line="240" w:lineRule="atLeast"/>
    </w:pPr>
    <w:rPr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ec.europa.eu/docsroom/documents/3608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ec.europa.eu/growth/industry/policy/innovation/regional_e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QE.cz" TargetMode="External"/><Relationship Id="rId11" Type="http://schemas.openxmlformats.org/officeDocument/2006/relationships/hyperlink" Target="https://ec.europa.eu/docsroom/documents/35923" TargetMode="External"/><Relationship Id="rId5" Type="http://schemas.openxmlformats.org/officeDocument/2006/relationships/hyperlink" Target="http://www.AQE.cz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c.europa.eu/growth/industry/policy/innovation/regional_en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ec.europa.eu/growth/industry/policy/innovation/scoreboards_en" TargetMode="External"/><Relationship Id="rId14" Type="http://schemas.openxmlformats.org/officeDocument/2006/relationships/hyperlink" Target="https://coolors.co/gradient-palette/005dbd-000fff?number=4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Microsoft_Excelu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radarChart>
        <c:radarStyle val="marker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Severozápad (CZ04)</c:v>
                </c:pt>
              </c:strCache>
            </c:strRef>
          </c:tx>
          <c:spPr>
            <a:ln w="28575" cap="rnd">
              <a:solidFill>
                <a:srgbClr val="005DBD"/>
              </a:solidFill>
              <a:round/>
            </a:ln>
            <a:effectLst/>
          </c:spPr>
          <c:marker>
            <c:symbol val="none"/>
          </c:marker>
          <c:cat>
            <c:strRef>
              <c:f>List1!$A$2:$A$18</c:f>
              <c:strCache>
                <c:ptCount val="17"/>
                <c:pt idx="0">
                  <c:v>Vysokoškolsky vzdělaní</c:v>
                </c:pt>
                <c:pt idx="1">
                  <c:v>Celoživotní vzdělání</c:v>
                </c:pt>
                <c:pt idx="2">
                  <c:v>Mezinárodní vědecké publikace</c:v>
                </c:pt>
                <c:pt idx="3">
                  <c:v>Nejvíce citované odborné články v impaktovaných periodikách</c:v>
                </c:pt>
                <c:pt idx="4">
                  <c:v>Výdaje na výzkum a vývoj ve veřejném sektoru</c:v>
                </c:pt>
                <c:pt idx="5">
                  <c:v>Výdaje na výzkum a vývoj v soukromém sektoru</c:v>
                </c:pt>
                <c:pt idx="6">
                  <c:v>Výdaje na inovace</c:v>
                </c:pt>
                <c:pt idx="7">
                  <c:v>Produktové/procesní inovace</c:v>
                </c:pt>
                <c:pt idx="8">
                  <c:v>Marketingové/organizační inovace</c:v>
                </c:pt>
                <c:pt idx="9">
                  <c:v>Inovace v malých a středních podnicích (MSP)</c:v>
                </c:pt>
                <c:pt idx="10">
                  <c:v>Spolupráce inovativních MSP</c:v>
                </c:pt>
                <c:pt idx="11">
                  <c:v>Publikace ve spolupráci soukromého a veřejného sektoru</c:v>
                </c:pt>
                <c:pt idx="12">
                  <c:v>Počet patentových přihlášek</c:v>
                </c:pt>
                <c:pt idx="13">
                  <c:v>Počet přihlášek pro ochrannou známku</c:v>
                </c:pt>
                <c:pt idx="14">
                  <c:v>Počet přihlášek pro technický vzor (ochranu designu)</c:v>
                </c:pt>
                <c:pt idx="15">
                  <c:v>Zaměstnanci v odvětví s vysokou technologickou náročností a znalostně intenzivních průmyslech</c:v>
                </c:pt>
                <c:pt idx="16">
                  <c:v>Prodej na nové trhy/firemní inovace</c:v>
                </c:pt>
              </c:strCache>
            </c:strRef>
          </c:cat>
          <c:val>
            <c:numRef>
              <c:f>List1!$B$2:$B$18</c:f>
              <c:numCache>
                <c:formatCode>General</c:formatCode>
                <c:ptCount val="17"/>
                <c:pt idx="0">
                  <c:v>9.8751444563391577E-2</c:v>
                </c:pt>
                <c:pt idx="1">
                  <c:v>0.18770214255252496</c:v>
                </c:pt>
                <c:pt idx="2">
                  <c:v>0.14487063408062401</c:v>
                </c:pt>
                <c:pt idx="3">
                  <c:v>0.3684920771717935</c:v>
                </c:pt>
                <c:pt idx="4">
                  <c:v>9.6602949943445648E-2</c:v>
                </c:pt>
                <c:pt idx="5">
                  <c:v>0.22423745362025682</c:v>
                </c:pt>
                <c:pt idx="6">
                  <c:v>0.90885439909767551</c:v>
                </c:pt>
                <c:pt idx="7">
                  <c:v>0.35590875280644924</c:v>
                </c:pt>
                <c:pt idx="8">
                  <c:v>0.32487180077404382</c:v>
                </c:pt>
                <c:pt idx="9">
                  <c:v>0.33940247419230385</c:v>
                </c:pt>
                <c:pt idx="10">
                  <c:v>0.38536880578644217</c:v>
                </c:pt>
                <c:pt idx="11">
                  <c:v>0.14850680551001619</c:v>
                </c:pt>
                <c:pt idx="12">
                  <c:v>0.13678017173401991</c:v>
                </c:pt>
                <c:pt idx="13">
                  <c:v>0.2352370726896813</c:v>
                </c:pt>
                <c:pt idx="14">
                  <c:v>0.11957215415518403</c:v>
                </c:pt>
                <c:pt idx="15">
                  <c:v>0.46843300359860068</c:v>
                </c:pt>
                <c:pt idx="16">
                  <c:v>0.56275585338625655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78-46F2-8AEB-F3DC8B072E35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Moravskoslezsko (CZ08)</c:v>
                </c:pt>
              </c:strCache>
            </c:strRef>
          </c:tx>
          <c:spPr>
            <a:ln w="28575" cap="rnd">
              <a:solidFill>
                <a:srgbClr val="C00000"/>
              </a:solidFill>
              <a:round/>
            </a:ln>
            <a:effectLst/>
          </c:spPr>
          <c:marker>
            <c:symbol val="none"/>
          </c:marker>
          <c:cat>
            <c:strRef>
              <c:f>List1!$A$2:$A$18</c:f>
              <c:strCache>
                <c:ptCount val="17"/>
                <c:pt idx="0">
                  <c:v>Vysokoškolsky vzdělaní</c:v>
                </c:pt>
                <c:pt idx="1">
                  <c:v>Celoživotní vzdělání</c:v>
                </c:pt>
                <c:pt idx="2">
                  <c:v>Mezinárodní vědecké publikace</c:v>
                </c:pt>
                <c:pt idx="3">
                  <c:v>Nejvíce citované odborné články v impaktovaných periodikách</c:v>
                </c:pt>
                <c:pt idx="4">
                  <c:v>Výdaje na výzkum a vývoj ve veřejném sektoru</c:v>
                </c:pt>
                <c:pt idx="5">
                  <c:v>Výdaje na výzkum a vývoj v soukromém sektoru</c:v>
                </c:pt>
                <c:pt idx="6">
                  <c:v>Výdaje na inovace</c:v>
                </c:pt>
                <c:pt idx="7">
                  <c:v>Produktové/procesní inovace</c:v>
                </c:pt>
                <c:pt idx="8">
                  <c:v>Marketingové/organizační inovace</c:v>
                </c:pt>
                <c:pt idx="9">
                  <c:v>Inovace v malých a středních podnicích (MSP)</c:v>
                </c:pt>
                <c:pt idx="10">
                  <c:v>Spolupráce inovativních MSP</c:v>
                </c:pt>
                <c:pt idx="11">
                  <c:v>Publikace ve spolupráci soukromého a veřejného sektoru</c:v>
                </c:pt>
                <c:pt idx="12">
                  <c:v>Počet patentových přihlášek</c:v>
                </c:pt>
                <c:pt idx="13">
                  <c:v>Počet přihlášek pro ochrannou známku</c:v>
                </c:pt>
                <c:pt idx="14">
                  <c:v>Počet přihlášek pro technický vzor (ochranu designu)</c:v>
                </c:pt>
                <c:pt idx="15">
                  <c:v>Zaměstnanci v odvětví s vysokou technologickou náročností a znalostně intenzivních průmyslech</c:v>
                </c:pt>
                <c:pt idx="16">
                  <c:v>Prodej na nové trhy/firemní inovace</c:v>
                </c:pt>
              </c:strCache>
            </c:strRef>
          </c:cat>
          <c:val>
            <c:numRef>
              <c:f>List1!$C$2:$C$18</c:f>
              <c:numCache>
                <c:formatCode>General</c:formatCode>
                <c:ptCount val="17"/>
                <c:pt idx="0">
                  <c:v>0.33216394989504433</c:v>
                </c:pt>
                <c:pt idx="1">
                  <c:v>0.32091011468657493</c:v>
                </c:pt>
                <c:pt idx="2">
                  <c:v>0.29711813261498493</c:v>
                </c:pt>
                <c:pt idx="3">
                  <c:v>0.18351684141456354</c:v>
                </c:pt>
                <c:pt idx="4">
                  <c:v>0.3353956420958909</c:v>
                </c:pt>
                <c:pt idx="5">
                  <c:v>0.45378948748819742</c:v>
                </c:pt>
                <c:pt idx="6">
                  <c:v>0.76898867906233337</c:v>
                </c:pt>
                <c:pt idx="7">
                  <c:v>0.5427135445678789</c:v>
                </c:pt>
                <c:pt idx="8">
                  <c:v>0.37294771423048378</c:v>
                </c:pt>
                <c:pt idx="9">
                  <c:v>0.53756401847009394</c:v>
                </c:pt>
                <c:pt idx="10">
                  <c:v>0.39392959455963483</c:v>
                </c:pt>
                <c:pt idx="11">
                  <c:v>0.11656686874692022</c:v>
                </c:pt>
                <c:pt idx="12">
                  <c:v>0.14808649151878678</c:v>
                </c:pt>
                <c:pt idx="13">
                  <c:v>0.19378238273859977</c:v>
                </c:pt>
                <c:pt idx="14">
                  <c:v>0.48784628056067503</c:v>
                </c:pt>
                <c:pt idx="15">
                  <c:v>0.68095393561920214</c:v>
                </c:pt>
                <c:pt idx="16">
                  <c:v>0.52855183873188949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878-46F2-8AEB-F3DC8B072E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93730287"/>
        <c:axId val="1560434367"/>
      </c:radarChart>
      <c:catAx>
        <c:axId val="149373028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60434367"/>
        <c:crosses val="autoZero"/>
        <c:auto val="1"/>
        <c:lblAlgn val="ctr"/>
        <c:lblOffset val="100"/>
        <c:noMultiLvlLbl val="0"/>
      </c:catAx>
      <c:valAx>
        <c:axId val="15604343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49373028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868</Words>
  <Characters>5444</Characters>
  <Application>Microsoft Office Word</Application>
  <DocSecurity>0</DocSecurity>
  <Lines>102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 Horák</dc:creator>
  <cp:keywords/>
  <dc:description/>
  <cp:lastModifiedBy>Jan Havranek</cp:lastModifiedBy>
  <cp:revision>2</cp:revision>
  <dcterms:created xsi:type="dcterms:W3CDTF">2021-04-16T18:33:00Z</dcterms:created>
  <dcterms:modified xsi:type="dcterms:W3CDTF">2021-04-16T18:33:00Z</dcterms:modified>
</cp:coreProperties>
</file>